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DDB4EA" w14:textId="4048852A" w:rsidR="00122C09" w:rsidRDefault="00122C09">
      <w:pPr>
        <w:widowControl/>
        <w:jc w:val="left"/>
        <w:rPr>
          <w:noProof/>
        </w:rPr>
      </w:pPr>
      <w:r>
        <w:rPr>
          <w:noProof/>
        </w:rPr>
        <mc:AlternateContent>
          <mc:Choice Requires="wps">
            <w:drawing>
              <wp:anchor distT="0" distB="0" distL="114300" distR="114300" simplePos="0" relativeHeight="251660288" behindDoc="0" locked="0" layoutInCell="1" allowOverlap="1" wp14:anchorId="392979B2" wp14:editId="5F7A29D1">
                <wp:simplePos x="0" y="0"/>
                <wp:positionH relativeFrom="column">
                  <wp:posOffset>368300</wp:posOffset>
                </wp:positionH>
                <wp:positionV relativeFrom="paragraph">
                  <wp:posOffset>7115175</wp:posOffset>
                </wp:positionV>
                <wp:extent cx="12548235" cy="635"/>
                <wp:effectExtent l="0" t="0" r="0" b="0"/>
                <wp:wrapTopAndBottom/>
                <wp:docPr id="292031190" name="文本框 1"/>
                <wp:cNvGraphicFramePr/>
                <a:graphic xmlns:a="http://schemas.openxmlformats.org/drawingml/2006/main">
                  <a:graphicData uri="http://schemas.microsoft.com/office/word/2010/wordprocessingShape">
                    <wps:wsp>
                      <wps:cNvSpPr txBox="1"/>
                      <wps:spPr>
                        <a:xfrm>
                          <a:off x="0" y="0"/>
                          <a:ext cx="12548235" cy="635"/>
                        </a:xfrm>
                        <a:prstGeom prst="rect">
                          <a:avLst/>
                        </a:prstGeom>
                        <a:solidFill>
                          <a:prstClr val="white"/>
                        </a:solidFill>
                        <a:ln>
                          <a:noFill/>
                        </a:ln>
                      </wps:spPr>
                      <wps:txbx>
                        <w:txbxContent>
                          <w:p w14:paraId="32AD5FFF" w14:textId="12921DA1" w:rsidR="00122C09" w:rsidRPr="00122C09" w:rsidRDefault="00122C09" w:rsidP="00122C09">
                            <w:pPr>
                              <w:pStyle w:val="a3"/>
                              <w:rPr>
                                <w:rFonts w:ascii="Times New Roman" w:hAnsi="Times New Roman" w:cs="Times New Roman"/>
                                <w:noProof/>
                                <w:sz w:val="22"/>
                              </w:rPr>
                            </w:pPr>
                            <w:r w:rsidRPr="00122C09">
                              <w:rPr>
                                <w:rFonts w:ascii="Times New Roman" w:hAnsi="Times New Roman" w:cs="Times New Roman"/>
                                <w:b/>
                                <w:bCs/>
                              </w:rPr>
                              <w:t xml:space="preserve">Supplement Figure </w:t>
                            </w:r>
                            <w:r w:rsidRPr="00122C09">
                              <w:rPr>
                                <w:rFonts w:ascii="Times New Roman" w:hAnsi="Times New Roman" w:cs="Times New Roman"/>
                                <w:b/>
                                <w:bCs/>
                              </w:rPr>
                              <w:fldChar w:fldCharType="begin"/>
                            </w:r>
                            <w:r w:rsidRPr="00122C09">
                              <w:rPr>
                                <w:rFonts w:ascii="Times New Roman" w:hAnsi="Times New Roman" w:cs="Times New Roman"/>
                                <w:b/>
                                <w:bCs/>
                              </w:rPr>
                              <w:instrText xml:space="preserve"> SEQ Supplement_Figure \* ARABIC </w:instrText>
                            </w:r>
                            <w:r w:rsidRPr="00122C09">
                              <w:rPr>
                                <w:rFonts w:ascii="Times New Roman" w:hAnsi="Times New Roman" w:cs="Times New Roman"/>
                                <w:b/>
                                <w:bCs/>
                              </w:rPr>
                              <w:fldChar w:fldCharType="separate"/>
                            </w:r>
                            <w:r w:rsidR="005D68A2">
                              <w:rPr>
                                <w:rFonts w:ascii="Times New Roman" w:hAnsi="Times New Roman" w:cs="Times New Roman"/>
                                <w:b/>
                                <w:bCs/>
                                <w:noProof/>
                              </w:rPr>
                              <w:t>1</w:t>
                            </w:r>
                            <w:r w:rsidRPr="00122C09">
                              <w:rPr>
                                <w:rFonts w:ascii="Times New Roman" w:hAnsi="Times New Roman" w:cs="Times New Roman"/>
                                <w:b/>
                                <w:bCs/>
                              </w:rPr>
                              <w:fldChar w:fldCharType="end"/>
                            </w:r>
                            <w:r w:rsidRPr="00122C09">
                              <w:rPr>
                                <w:rFonts w:ascii="Times New Roman" w:hAnsi="Times New Roman" w:cs="Times New Roman"/>
                              </w:rPr>
                              <w:t xml:space="preserve">  Time trends in the absolute numbers and age-standardized rates (ASR) of incidence, prevalence, deaths, and disability-adjusted life years (DALYs) due to endocarditis from 1990 to 2021. Panel A (Gray): Shows the annual number of new incidence cases (left Y-axis, absolute count) and age-standardized incidence rate (ASR, right Y-axis, per 100,000 population). The absolute number of cases increases steadily over time, while ASR remains relatively stable with a slight upward trend. Panel B (Orange): Illustrates the annual number of prevalence cases (left Y-axis, absolute count) and the age-standardized prevalence rate (ASR, right Y-axis, per 100,000 population). Both absolute counts and ASR show significant growth during the observed period. Panel C (Blue): Displays the annual number of deaths (left Y-axis, absolute count) and the age-standardized death rate (ASR, right Y-axis, per 100,000 population). Deaths have steadily increased, while ASR remains relatively stable or slightly declining, potentially reflecting improvements in medical care. Panel D (Red): Represents the annual number of disability-adjusted life years (DALYs, left Y-axis, absolute count) and age-standardized DALY rate (ASR, right Y-axis, per 100,000 population). DALYs increase over time, but the ASR shows a slight downward trend, suggesting that the burden of disease might be stabilizing when standardized by 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92979B2" id="_x0000_t202" coordsize="21600,21600" o:spt="202" path="m,l,21600r21600,l21600,xe">
                <v:stroke joinstyle="miter"/>
                <v:path gradientshapeok="t" o:connecttype="rect"/>
              </v:shapetype>
              <v:shape id="文本框 1" o:spid="_x0000_s1026" type="#_x0000_t202" style="position:absolute;margin-left:29pt;margin-top:560.25pt;width:988.0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" stroked="f">
                <v:textbox style="mso-fit-shape-to-text:t" inset="0,0,0,0">
                  <w:txbxContent>
                    <w:p w14:paraId="32AD5FFF" w14:textId="12921DA1" w:rsidR="00122C09" w:rsidRPr="00122C09" w:rsidRDefault="00122C09" w:rsidP="00122C09">
                      <w:pPr>
                        <w:pStyle w:val="a3"/>
                        <w:rPr>
                          <w:rFonts w:ascii="Times New Roman" w:hAnsi="Times New Roman" w:cs="Times New Roman"/>
                          <w:noProof/>
                          <w:sz w:val="22"/>
                        </w:rPr>
                      </w:pPr>
                      <w:r w:rsidRPr="00122C09">
                        <w:rPr>
                          <w:rFonts w:ascii="Times New Roman" w:hAnsi="Times New Roman" w:cs="Times New Roman"/>
                          <w:b/>
                          <w:bCs/>
                        </w:rPr>
                        <w:t xml:space="preserve">Supplement Figure </w:t>
                      </w:r>
                      <w:r w:rsidRPr="00122C09">
                        <w:rPr>
                          <w:rFonts w:ascii="Times New Roman" w:hAnsi="Times New Roman" w:cs="Times New Roman"/>
                          <w:b/>
                          <w:bCs/>
                        </w:rPr>
                        <w:fldChar w:fldCharType="begin"/>
                      </w:r>
                      <w:r w:rsidRPr="00122C09">
                        <w:rPr>
                          <w:rFonts w:ascii="Times New Roman" w:hAnsi="Times New Roman" w:cs="Times New Roman"/>
                          <w:b/>
                          <w:bCs/>
                        </w:rPr>
                        <w:instrText xml:space="preserve"> SEQ Supplement_Figure \* ARABIC </w:instrText>
                      </w:r>
                      <w:r w:rsidRPr="00122C09">
                        <w:rPr>
                          <w:rFonts w:ascii="Times New Roman" w:hAnsi="Times New Roman" w:cs="Times New Roman"/>
                          <w:b/>
                          <w:bCs/>
                        </w:rPr>
                        <w:fldChar w:fldCharType="separate"/>
                      </w:r>
                      <w:r w:rsidR="005D68A2">
                        <w:rPr>
                          <w:rFonts w:ascii="Times New Roman" w:hAnsi="Times New Roman" w:cs="Times New Roman"/>
                          <w:b/>
                          <w:bCs/>
                          <w:noProof/>
                        </w:rPr>
                        <w:t>1</w:t>
                      </w:r>
                      <w:r w:rsidRPr="00122C09">
                        <w:rPr>
                          <w:rFonts w:ascii="Times New Roman" w:hAnsi="Times New Roman" w:cs="Times New Roman"/>
                          <w:b/>
                          <w:bCs/>
                        </w:rPr>
                        <w:fldChar w:fldCharType="end"/>
                      </w:r>
                      <w:r w:rsidRPr="00122C09">
                        <w:rPr>
                          <w:rFonts w:ascii="Times New Roman" w:hAnsi="Times New Roman" w:cs="Times New Roman"/>
                        </w:rPr>
                        <w:t xml:space="preserve">  Time trends in the absolute numbers and age-standardized rates (ASR) of incidence, prevalence, deaths, and disability-adjusted life years (DALYs) due to endocarditis from 1990 to 2021. Panel A (Gray): Shows the annual number of new incidence cases (left Y-axis, absolute count) and age-standardized incidence rate (ASR, right Y-axis, per 100,000 population). The absolute number of cases increases steadily over time, while ASR remains relatively stable with a slight upward trend. Panel B (Orange): Illustrates the annual number of prevalence cases (left Y-axis, absolute count) and the age-standardized prevalence rate (ASR, right Y-axis, per 100,000 population). Both absolute counts and ASR show significant growth during the observed period. Panel C (Blue): Displays the annual number of deaths (left Y-axis, absolute count) and the age-standardized death rate (ASR, right Y-axis, per 100,000 population). Deaths have steadily increased, while ASR remains relatively stable or slightly declining, potentially reflecting improvements in medical care. Panel D (Red): Represents the annual number of disability-adjusted life years (DALYs, left Y-axis, absolute count) and age-standardized DALY rate (ASR, right Y-axis, per 100,000 population). DALYs increase over time, but the ASR shows a slight downward trend, suggesting that the burden of disease might be stabilizing when standardized by age.</w:t>
                      </w:r>
                    </w:p>
                  </w:txbxContent>
                </v:textbox>
                <w10:wrap type="topAndBottom"/>
              </v:shape>
            </w:pict>
          </mc:Fallback>
        </mc:AlternateContent>
      </w:r>
      <w:r>
        <w:rPr>
          <w:rFonts w:hint="eastAsia"/>
          <w:noProof/>
        </w:rPr>
        <w:drawing>
          <wp:anchor distT="0" distB="0" distL="114300" distR="114300" simplePos="0" relativeHeight="251658240" behindDoc="0" locked="0" layoutInCell="1" allowOverlap="1" wp14:anchorId="55A35447" wp14:editId="51DEFF12">
            <wp:simplePos x="0" y="0"/>
            <wp:positionH relativeFrom="margin">
              <wp:align>center</wp:align>
            </wp:positionH>
            <wp:positionV relativeFrom="paragraph">
              <wp:posOffset>317</wp:posOffset>
            </wp:positionV>
            <wp:extent cx="12548235" cy="7058570"/>
            <wp:effectExtent l="0" t="0" r="5715" b="9525"/>
            <wp:wrapTopAndBottom/>
            <wp:docPr id="5919946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94649" name="图片 591994649"/>
                    <pic:cNvPicPr/>
                  </pic:nvPicPr>
                  <pic:blipFill>
                    <a:blip r:embed="rId8"/>
                    <a:stretch>
                      <a:fillRect/>
                    </a:stretch>
                  </pic:blipFill>
                  <pic:spPr>
                    <a:xfrm>
                      <a:off x="0" y="0"/>
                      <a:ext cx="12548235" cy="7058570"/>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rPr>
        <w:br w:type="page"/>
      </w:r>
    </w:p>
    <w:p w14:paraId="79F8D499" w14:textId="0CC6B3A4" w:rsidR="00122C09" w:rsidRDefault="00CC4336">
      <w:pPr>
        <w:widowControl/>
        <w:jc w:val="left"/>
      </w:pPr>
      <w:r w:rsidRPr="00E20A47">
        <w:rPr>
          <w:rFonts w:hint="eastAsia"/>
          <w:noProof/>
        </w:rPr>
        <w:lastRenderedPageBreak/>
        <w:drawing>
          <wp:anchor distT="0" distB="0" distL="114300" distR="114300" simplePos="0" relativeHeight="251661312" behindDoc="0" locked="0" layoutInCell="1" allowOverlap="1" wp14:anchorId="50523503" wp14:editId="2633B889">
            <wp:simplePos x="0" y="0"/>
            <wp:positionH relativeFrom="margin">
              <wp:posOffset>2209800</wp:posOffset>
            </wp:positionH>
            <wp:positionV relativeFrom="paragraph">
              <wp:posOffset>317</wp:posOffset>
            </wp:positionV>
            <wp:extent cx="7896225" cy="6767195"/>
            <wp:effectExtent l="0" t="0" r="9525" b="0"/>
            <wp:wrapTopAndBottom/>
            <wp:docPr id="5009674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967454" name="图片 500967454"/>
                    <pic:cNvPicPr/>
                  </pic:nvPicPr>
                  <pic:blipFill>
                    <a:blip r:embed="rId9"/>
                    <a:stretch>
                      <a:fillRect/>
                    </a:stretch>
                  </pic:blipFill>
                  <pic:spPr>
                    <a:xfrm>
                      <a:off x="0" y="0"/>
                      <a:ext cx="7896225" cy="6767195"/>
                    </a:xfrm>
                    <a:prstGeom prst="rect">
                      <a:avLst/>
                    </a:prstGeom>
                  </pic:spPr>
                </pic:pic>
              </a:graphicData>
            </a:graphic>
            <wp14:sizeRelH relativeFrom="margin">
              <wp14:pctWidth>0</wp14:pctWidth>
            </wp14:sizeRelH>
            <wp14:sizeRelV relativeFrom="margin">
              <wp14:pctHeight>0</wp14:pctHeight>
            </wp14:sizeRelV>
          </wp:anchor>
        </w:drawing>
      </w:r>
      <w:r w:rsidRPr="00E20A47">
        <w:rPr>
          <w:noProof/>
        </w:rPr>
        <mc:AlternateContent>
          <mc:Choice Requires="wps">
            <w:drawing>
              <wp:anchor distT="0" distB="0" distL="114300" distR="114300" simplePos="0" relativeHeight="251663360" behindDoc="0" locked="0" layoutInCell="1" allowOverlap="1" wp14:anchorId="18C12829" wp14:editId="52642F5A">
                <wp:simplePos x="0" y="0"/>
                <wp:positionH relativeFrom="column">
                  <wp:posOffset>-538797</wp:posOffset>
                </wp:positionH>
                <wp:positionV relativeFrom="paragraph">
                  <wp:posOffset>6817995</wp:posOffset>
                </wp:positionV>
                <wp:extent cx="13968095" cy="635"/>
                <wp:effectExtent l="0" t="0" r="0" b="0"/>
                <wp:wrapTopAndBottom/>
                <wp:docPr id="687074468" name="文本框 1"/>
                <wp:cNvGraphicFramePr/>
                <a:graphic xmlns:a="http://schemas.openxmlformats.org/drawingml/2006/main">
                  <a:graphicData uri="http://schemas.microsoft.com/office/word/2010/wordprocessingShape">
                    <wps:wsp>
                      <wps:cNvSpPr txBox="1"/>
                      <wps:spPr>
                        <a:xfrm>
                          <a:off x="0" y="0"/>
                          <a:ext cx="13968095" cy="635"/>
                        </a:xfrm>
                        <a:prstGeom prst="rect">
                          <a:avLst/>
                        </a:prstGeom>
                        <a:solidFill>
                          <a:prstClr val="white"/>
                        </a:solidFill>
                        <a:ln>
                          <a:noFill/>
                        </a:ln>
                      </wps:spPr>
                      <wps:txbx>
                        <w:txbxContent>
                          <w:p w14:paraId="394BAB3C" w14:textId="1CB2FBA7" w:rsidR="005943AA" w:rsidRPr="005A64CC" w:rsidRDefault="005943AA" w:rsidP="00CC4336">
                            <w:pPr>
                              <w:pStyle w:val="a3"/>
                              <w:rPr>
                                <w:rFonts w:ascii="Times New Roman" w:hAnsi="Times New Roman" w:cs="Times New Roman"/>
                                <w:noProof/>
                                <w:sz w:val="22"/>
                              </w:rPr>
                            </w:pPr>
                            <w:r w:rsidRPr="005A64CC">
                              <w:rPr>
                                <w:rFonts w:ascii="Times New Roman" w:hAnsi="Times New Roman" w:cs="Times New Roman"/>
                                <w:b/>
                                <w:bCs/>
                              </w:rPr>
                              <w:t xml:space="preserve">Supplement Figure </w:t>
                            </w:r>
                            <w:r w:rsidRPr="005A64CC">
                              <w:rPr>
                                <w:rFonts w:ascii="Times New Roman" w:hAnsi="Times New Roman" w:cs="Times New Roman"/>
                                <w:b/>
                                <w:bCs/>
                              </w:rPr>
                              <w:fldChar w:fldCharType="begin"/>
                            </w:r>
                            <w:r w:rsidRPr="005A64CC">
                              <w:rPr>
                                <w:rFonts w:ascii="Times New Roman" w:hAnsi="Times New Roman" w:cs="Times New Roman"/>
                                <w:b/>
                                <w:bCs/>
                              </w:rPr>
                              <w:instrText xml:space="preserve"> SEQ Supplement_Figure \* ARABIC </w:instrText>
                            </w:r>
                            <w:r w:rsidRPr="005A64CC">
                              <w:rPr>
                                <w:rFonts w:ascii="Times New Roman" w:hAnsi="Times New Roman" w:cs="Times New Roman"/>
                                <w:b/>
                                <w:bCs/>
                              </w:rPr>
                              <w:fldChar w:fldCharType="separate"/>
                            </w:r>
                            <w:r w:rsidR="005D68A2">
                              <w:rPr>
                                <w:rFonts w:ascii="Times New Roman" w:hAnsi="Times New Roman" w:cs="Times New Roman"/>
                                <w:b/>
                                <w:bCs/>
                                <w:noProof/>
                              </w:rPr>
                              <w:t>2</w:t>
                            </w:r>
                            <w:r w:rsidRPr="005A64CC">
                              <w:rPr>
                                <w:rFonts w:ascii="Times New Roman" w:hAnsi="Times New Roman" w:cs="Times New Roman"/>
                                <w:b/>
                                <w:bCs/>
                              </w:rPr>
                              <w:fldChar w:fldCharType="end"/>
                            </w:r>
                            <w:r w:rsidRPr="005A64CC">
                              <w:rPr>
                                <w:rFonts w:ascii="Times New Roman" w:hAnsi="Times New Roman" w:cs="Times New Roman"/>
                              </w:rPr>
                              <w:t xml:space="preserve">  </w:t>
                            </w:r>
                            <w:r w:rsidR="00CC4336" w:rsidRPr="00CC4336">
                              <w:rPr>
                                <w:rFonts w:ascii="Times New Roman" w:hAnsi="Times New Roman" w:cs="Times New Roman" w:hint="eastAsia"/>
                              </w:rPr>
                              <w:t>Distribution of ASR and Absolute Numbers of Incidence, Prevalence, Deaths, and DALYs in 204 Countries and Territories Worldwide in 2021</w:t>
                            </w:r>
                            <w:r w:rsidR="00CC4336">
                              <w:rPr>
                                <w:rFonts w:ascii="Times New Roman" w:hAnsi="Times New Roman" w:cs="Times New Roman" w:hint="eastAsia"/>
                              </w:rPr>
                              <w:t xml:space="preserve">. </w:t>
                            </w:r>
                            <w:r w:rsidR="00CC4336" w:rsidRPr="00CC4336">
                              <w:rPr>
                                <w:rFonts w:ascii="Times New Roman" w:hAnsi="Times New Roman" w:cs="Times New Roman" w:hint="eastAsia"/>
                              </w:rPr>
                              <w:t xml:space="preserve">Panels A-D: Depict the distribution of age-standardized rates (ASR) across countries, including incidence, </w:t>
                            </w:r>
                            <w:r w:rsidR="00CC4336" w:rsidRPr="00E20A47">
                              <w:rPr>
                                <w:rFonts w:ascii="Times New Roman" w:hAnsi="Times New Roman" w:cs="Times New Roman" w:hint="eastAsia"/>
                              </w:rPr>
                              <w:t>prevalence, death rates, and disability-adjusted life years (DALYs). The gradient from blue to red represents different ranges of values (see legend on the right).</w:t>
                            </w:r>
                            <w:r w:rsidR="00E20A47">
                              <w:rPr>
                                <w:rFonts w:ascii="Times New Roman" w:hAnsi="Times New Roman" w:cs="Times New Roman"/>
                              </w:rPr>
                              <w:t xml:space="preserve"> </w:t>
                            </w:r>
                            <w:proofErr w:type="gramStart"/>
                            <w:r w:rsidR="00CC4336" w:rsidRPr="00E20A47">
                              <w:rPr>
                                <w:rFonts w:ascii="Times New Roman" w:hAnsi="Times New Roman" w:cs="Times New Roman" w:hint="eastAsia"/>
                              </w:rPr>
                              <w:t>Panel</w:t>
                            </w:r>
                            <w:proofErr w:type="gramEnd"/>
                            <w:r w:rsidR="00CC4336" w:rsidRPr="00E20A47">
                              <w:rPr>
                                <w:rFonts w:ascii="Times New Roman" w:hAnsi="Times New Roman" w:cs="Times New Roman" w:hint="eastAsia"/>
                              </w:rPr>
                              <w:t xml:space="preserve"> A: Age-standardized incidence rate (ASIR). Higher ASIR is observed in regions such as the </w:t>
                            </w:r>
                            <w:r w:rsidR="003148DE" w:rsidRPr="00E20A47">
                              <w:rPr>
                                <w:rFonts w:ascii="Times New Roman" w:hAnsi="Times New Roman" w:cs="Times New Roman" w:hint="eastAsia"/>
                              </w:rPr>
                              <w:t>Thailand</w:t>
                            </w:r>
                            <w:r w:rsidR="00CC4336" w:rsidRPr="00E20A47">
                              <w:rPr>
                                <w:rFonts w:ascii="Times New Roman" w:hAnsi="Times New Roman" w:cs="Times New Roman" w:hint="eastAsia"/>
                              </w:rPr>
                              <w:t>.</w:t>
                            </w:r>
                            <w:r w:rsidR="00D35FCD" w:rsidRPr="00E20A47">
                              <w:rPr>
                                <w:rFonts w:ascii="Times New Roman" w:hAnsi="Times New Roman" w:cs="Times New Roman" w:hint="eastAsia"/>
                              </w:rPr>
                              <w:t xml:space="preserve"> </w:t>
                            </w:r>
                            <w:r w:rsidR="00CC4336" w:rsidRPr="00E20A47">
                              <w:rPr>
                                <w:rFonts w:ascii="Times New Roman" w:hAnsi="Times New Roman" w:cs="Times New Roman" w:hint="eastAsia"/>
                              </w:rPr>
                              <w:t xml:space="preserve">Panel B: Age-standardized prevalence rate (ASPR). Higher ASPR is concentrated in North Africa, the Middle East, and some Southeast Asian </w:t>
                            </w:r>
                            <w:proofErr w:type="spellStart"/>
                            <w:proofErr w:type="gramStart"/>
                            <w:r w:rsidR="00CC4336" w:rsidRPr="00E20A47">
                              <w:rPr>
                                <w:rFonts w:ascii="Times New Roman" w:hAnsi="Times New Roman" w:cs="Times New Roman" w:hint="eastAsia"/>
                              </w:rPr>
                              <w:t>countries.Panel</w:t>
                            </w:r>
                            <w:proofErr w:type="spellEnd"/>
                            <w:proofErr w:type="gramEnd"/>
                            <w:r w:rsidR="00CC4336" w:rsidRPr="00E20A47">
                              <w:rPr>
                                <w:rFonts w:ascii="Times New Roman" w:hAnsi="Times New Roman" w:cs="Times New Roman" w:hint="eastAsia"/>
                              </w:rPr>
                              <w:t xml:space="preserve"> C: Age-standardized death rate (ASDR). The highest ASDR is found in </w:t>
                            </w:r>
                            <w:r w:rsidR="00D35FCD" w:rsidRPr="00E20A47">
                              <w:rPr>
                                <w:rFonts w:ascii="Times New Roman" w:hAnsi="Times New Roman" w:cs="Times New Roman" w:hint="eastAsia"/>
                              </w:rPr>
                              <w:t xml:space="preserve">China </w:t>
                            </w:r>
                            <w:proofErr w:type="gramStart"/>
                            <w:r w:rsidR="00D35FCD" w:rsidRPr="00E20A47">
                              <w:rPr>
                                <w:rFonts w:ascii="Times New Roman" w:hAnsi="Times New Roman" w:cs="Times New Roman" w:hint="eastAsia"/>
                              </w:rPr>
                              <w:t xml:space="preserve">etc. </w:t>
                            </w:r>
                            <w:r w:rsidR="00CC4336" w:rsidRPr="00E20A47">
                              <w:rPr>
                                <w:rFonts w:ascii="Times New Roman" w:hAnsi="Times New Roman" w:cs="Times New Roman" w:hint="eastAsia"/>
                              </w:rPr>
                              <w:t>,</w:t>
                            </w:r>
                            <w:proofErr w:type="gramEnd"/>
                            <w:r w:rsidR="00CC4336" w:rsidRPr="00E20A47">
                              <w:rPr>
                                <w:rFonts w:ascii="Times New Roman" w:hAnsi="Times New Roman" w:cs="Times New Roman" w:hint="eastAsia"/>
                              </w:rPr>
                              <w:t xml:space="preserve"> while other regions have relatively lower </w:t>
                            </w:r>
                            <w:proofErr w:type="spellStart"/>
                            <w:r w:rsidR="00CC4336" w:rsidRPr="00E20A47">
                              <w:rPr>
                                <w:rFonts w:ascii="Times New Roman" w:hAnsi="Times New Roman" w:cs="Times New Roman" w:hint="eastAsia"/>
                              </w:rPr>
                              <w:t>rates.Panel</w:t>
                            </w:r>
                            <w:proofErr w:type="spellEnd"/>
                            <w:r w:rsidR="00CC4336" w:rsidRPr="00E20A47">
                              <w:rPr>
                                <w:rFonts w:ascii="Times New Roman" w:hAnsi="Times New Roman" w:cs="Times New Roman" w:hint="eastAsia"/>
                              </w:rPr>
                              <w:t xml:space="preserve"> D: Age-standardized DALY rate. </w:t>
                            </w:r>
                            <w:r w:rsidR="00D35FCD" w:rsidRPr="00E20A47">
                              <w:rPr>
                                <w:rFonts w:ascii="Times New Roman" w:hAnsi="Times New Roman" w:cs="Times New Roman" w:hint="eastAsia"/>
                              </w:rPr>
                              <w:t>China, etc.</w:t>
                            </w:r>
                            <w:r w:rsidR="00CC4336" w:rsidRPr="00E20A47">
                              <w:rPr>
                                <w:rFonts w:ascii="Times New Roman" w:hAnsi="Times New Roman" w:cs="Times New Roman" w:hint="eastAsia"/>
                              </w:rPr>
                              <w:t xml:space="preserve"> exhibit the highest burden of health loss, while developed regions such as North America and Western Europe show lower </w:t>
                            </w:r>
                            <w:proofErr w:type="spellStart"/>
                            <w:proofErr w:type="gramStart"/>
                            <w:r w:rsidR="00CC4336" w:rsidRPr="00E20A47">
                              <w:rPr>
                                <w:rFonts w:ascii="Times New Roman" w:hAnsi="Times New Roman" w:cs="Times New Roman" w:hint="eastAsia"/>
                              </w:rPr>
                              <w:t>rates.Panels</w:t>
                            </w:r>
                            <w:proofErr w:type="spellEnd"/>
                            <w:proofErr w:type="gramEnd"/>
                            <w:r w:rsidR="00CC4336" w:rsidRPr="00E20A47">
                              <w:rPr>
                                <w:rFonts w:ascii="Times New Roman" w:hAnsi="Times New Roman" w:cs="Times New Roman" w:hint="eastAsia"/>
                              </w:rPr>
                              <w:t xml:space="preserve"> E-H: Show the global distribution of absolute numbers of cases, including incidence, prevalence, deaths, and DALYs. The gradient from blue to red represents the range of total case </w:t>
                            </w:r>
                            <w:proofErr w:type="spellStart"/>
                            <w:proofErr w:type="gramStart"/>
                            <w:r w:rsidR="00CC4336" w:rsidRPr="00E20A47">
                              <w:rPr>
                                <w:rFonts w:ascii="Times New Roman" w:hAnsi="Times New Roman" w:cs="Times New Roman" w:hint="eastAsia"/>
                              </w:rPr>
                              <w:t>counts.Panel</w:t>
                            </w:r>
                            <w:proofErr w:type="spellEnd"/>
                            <w:proofErr w:type="gramEnd"/>
                            <w:r w:rsidR="00CC4336" w:rsidRPr="00E20A47">
                              <w:rPr>
                                <w:rFonts w:ascii="Times New Roman" w:hAnsi="Times New Roman" w:cs="Times New Roman" w:hint="eastAsia"/>
                              </w:rPr>
                              <w:t xml:space="preserve"> E: Number of incidence cases. The highest counts are observed in densely populated regions such as South Asia (e.g., India), China, and Sub-Saharan Africa.</w:t>
                            </w:r>
                            <w:r w:rsidR="003148DE" w:rsidRPr="00E20A47">
                              <w:rPr>
                                <w:rFonts w:ascii="Times New Roman" w:hAnsi="Times New Roman" w:cs="Times New Roman" w:hint="eastAsia"/>
                              </w:rPr>
                              <w:t xml:space="preserve"> </w:t>
                            </w:r>
                            <w:r w:rsidR="00CC4336" w:rsidRPr="00E20A47">
                              <w:rPr>
                                <w:rFonts w:ascii="Times New Roman" w:hAnsi="Times New Roman" w:cs="Times New Roman" w:hint="eastAsia"/>
                              </w:rPr>
                              <w:t xml:space="preserve">Panel F: Number of prevalence cases. </w:t>
                            </w:r>
                            <w:r w:rsidR="00B1477F" w:rsidRPr="00E20A47">
                              <w:rPr>
                                <w:rFonts w:ascii="Times New Roman" w:hAnsi="Times New Roman" w:cs="Times New Roman" w:hint="eastAsia"/>
                              </w:rPr>
                              <w:t>the United States</w:t>
                            </w:r>
                            <w:r w:rsidR="00CC4336" w:rsidRPr="00E20A47">
                              <w:rPr>
                                <w:rFonts w:ascii="Times New Roman" w:hAnsi="Times New Roman" w:cs="Times New Roman" w:hint="eastAsia"/>
                              </w:rPr>
                              <w:t xml:space="preserve">, the Middle East, and Sub-Saharan Africa show the highest prevalence numbers, while North America and Europe have relatively lower </w:t>
                            </w:r>
                            <w:proofErr w:type="spellStart"/>
                            <w:proofErr w:type="gramStart"/>
                            <w:r w:rsidR="00CC4336" w:rsidRPr="00E20A47">
                              <w:rPr>
                                <w:rFonts w:ascii="Times New Roman" w:hAnsi="Times New Roman" w:cs="Times New Roman" w:hint="eastAsia"/>
                              </w:rPr>
                              <w:t>counts.Panel</w:t>
                            </w:r>
                            <w:proofErr w:type="spellEnd"/>
                            <w:proofErr w:type="gramEnd"/>
                            <w:r w:rsidR="00CC4336" w:rsidRPr="00E20A47">
                              <w:rPr>
                                <w:rFonts w:ascii="Times New Roman" w:hAnsi="Times New Roman" w:cs="Times New Roman" w:hint="eastAsia"/>
                              </w:rPr>
                              <w:t xml:space="preserve"> G: Number of death cases. The highest death tolls are observed in </w:t>
                            </w:r>
                            <w:r w:rsidR="004A67CA" w:rsidRPr="00E20A47">
                              <w:rPr>
                                <w:rFonts w:ascii="Times New Roman" w:hAnsi="Times New Roman" w:cs="Times New Roman" w:hint="eastAsia"/>
                              </w:rPr>
                              <w:t>the United States</w:t>
                            </w:r>
                            <w:r w:rsidR="00CC4336" w:rsidRPr="00E20A47">
                              <w:rPr>
                                <w:rFonts w:ascii="Times New Roman" w:hAnsi="Times New Roman" w:cs="Times New Roman" w:hint="eastAsia"/>
                              </w:rPr>
                              <w:t>, with lower numbers in developed countries.</w:t>
                            </w:r>
                            <w:r w:rsidR="004A67CA" w:rsidRPr="00E20A47">
                              <w:rPr>
                                <w:rFonts w:ascii="Times New Roman" w:hAnsi="Times New Roman" w:cs="Times New Roman" w:hint="eastAsia"/>
                              </w:rPr>
                              <w:t xml:space="preserve"> </w:t>
                            </w:r>
                            <w:r w:rsidR="00CC4336" w:rsidRPr="00E20A47">
                              <w:rPr>
                                <w:rFonts w:ascii="Times New Roman" w:hAnsi="Times New Roman" w:cs="Times New Roman" w:hint="eastAsia"/>
                              </w:rPr>
                              <w:t xml:space="preserve">Panel H: Number of DALYs. The burden of DALYs is concentrated in </w:t>
                            </w:r>
                            <w:r w:rsidR="00B1477F" w:rsidRPr="00E20A47">
                              <w:rPr>
                                <w:rFonts w:ascii="Times New Roman" w:hAnsi="Times New Roman" w:cs="Times New Roman" w:hint="eastAsia"/>
                              </w:rPr>
                              <w:t>India</w:t>
                            </w:r>
                            <w:r w:rsidR="00CC4336" w:rsidRPr="00E20A47">
                              <w:rPr>
                                <w:rFonts w:ascii="Times New Roman" w:hAnsi="Times New Roman" w:cs="Times New Roman" w:hint="eastAsia"/>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8C12829" id="_x0000_s1027" type="#_x0000_t202" style="position:absolute;margin-left:-42.4pt;margin-top:536.85pt;width:1099.85pt;height:.0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" stroked="f">
                <v:textbox style="mso-fit-shape-to-text:t" inset="0,0,0,0">
                  <w:txbxContent>
                    <w:p w14:paraId="394BAB3C" w14:textId="1CB2FBA7" w:rsidR="005943AA" w:rsidRPr="005A64CC" w:rsidRDefault="005943AA" w:rsidP="00CC4336">
                      <w:pPr>
                        <w:pStyle w:val="a3"/>
                        <w:rPr>
                          <w:rFonts w:ascii="Times New Roman" w:hAnsi="Times New Roman" w:cs="Times New Roman"/>
                          <w:noProof/>
                          <w:sz w:val="22"/>
                        </w:rPr>
                      </w:pPr>
                      <w:r w:rsidRPr="005A64CC">
                        <w:rPr>
                          <w:rFonts w:ascii="Times New Roman" w:hAnsi="Times New Roman" w:cs="Times New Roman"/>
                          <w:b/>
                          <w:bCs/>
                        </w:rPr>
                        <w:t xml:space="preserve">Supplement Figure </w:t>
                      </w:r>
                      <w:r w:rsidRPr="005A64CC">
                        <w:rPr>
                          <w:rFonts w:ascii="Times New Roman" w:hAnsi="Times New Roman" w:cs="Times New Roman"/>
                          <w:b/>
                          <w:bCs/>
                        </w:rPr>
                        <w:fldChar w:fldCharType="begin"/>
                      </w:r>
                      <w:r w:rsidRPr="005A64CC">
                        <w:rPr>
                          <w:rFonts w:ascii="Times New Roman" w:hAnsi="Times New Roman" w:cs="Times New Roman"/>
                          <w:b/>
                          <w:bCs/>
                        </w:rPr>
                        <w:instrText xml:space="preserve"> SEQ Supplement_Figure \* ARABIC </w:instrText>
                      </w:r>
                      <w:r w:rsidRPr="005A64CC">
                        <w:rPr>
                          <w:rFonts w:ascii="Times New Roman" w:hAnsi="Times New Roman" w:cs="Times New Roman"/>
                          <w:b/>
                          <w:bCs/>
                        </w:rPr>
                        <w:fldChar w:fldCharType="separate"/>
                      </w:r>
                      <w:r w:rsidR="005D68A2">
                        <w:rPr>
                          <w:rFonts w:ascii="Times New Roman" w:hAnsi="Times New Roman" w:cs="Times New Roman"/>
                          <w:b/>
                          <w:bCs/>
                          <w:noProof/>
                        </w:rPr>
                        <w:t>2</w:t>
                      </w:r>
                      <w:r w:rsidRPr="005A64CC">
                        <w:rPr>
                          <w:rFonts w:ascii="Times New Roman" w:hAnsi="Times New Roman" w:cs="Times New Roman"/>
                          <w:b/>
                          <w:bCs/>
                        </w:rPr>
                        <w:fldChar w:fldCharType="end"/>
                      </w:r>
                      <w:r w:rsidRPr="005A64CC">
                        <w:rPr>
                          <w:rFonts w:ascii="Times New Roman" w:hAnsi="Times New Roman" w:cs="Times New Roman"/>
                        </w:rPr>
                        <w:t xml:space="preserve">  </w:t>
                      </w:r>
                      <w:r w:rsidR="00CC4336" w:rsidRPr="00CC4336">
                        <w:rPr>
                          <w:rFonts w:ascii="Times New Roman" w:hAnsi="Times New Roman" w:cs="Times New Roman" w:hint="eastAsia"/>
                        </w:rPr>
                        <w:t>Distribution of ASR and Absolute Numbers of Incidence, Prevalence, Deaths, and DALYs in 204 Countries and Territories Worldwide in 2021</w:t>
                      </w:r>
                      <w:r w:rsidR="00CC4336">
                        <w:rPr>
                          <w:rFonts w:ascii="Times New Roman" w:hAnsi="Times New Roman" w:cs="Times New Roman" w:hint="eastAsia"/>
                        </w:rPr>
                        <w:t xml:space="preserve">. </w:t>
                      </w:r>
                      <w:r w:rsidR="00CC4336" w:rsidRPr="00CC4336">
                        <w:rPr>
                          <w:rFonts w:ascii="Times New Roman" w:hAnsi="Times New Roman" w:cs="Times New Roman" w:hint="eastAsia"/>
                        </w:rPr>
                        <w:t xml:space="preserve">Panels A-D: Depict the distribution of age-standardized rates (ASR) across countries, including incidence, </w:t>
                      </w:r>
                      <w:r w:rsidR="00CC4336" w:rsidRPr="00E20A47">
                        <w:rPr>
                          <w:rFonts w:ascii="Times New Roman" w:hAnsi="Times New Roman" w:cs="Times New Roman" w:hint="eastAsia"/>
                        </w:rPr>
                        <w:t>prevalence, death rates, and disability-adjusted life years (DALYs). The gradient from blue to red represents different ranges of values (see legend on the right).</w:t>
                      </w:r>
                      <w:r w:rsidR="00E20A47">
                        <w:rPr>
                          <w:rFonts w:ascii="Times New Roman" w:hAnsi="Times New Roman" w:cs="Times New Roman"/>
                        </w:rPr>
                        <w:t xml:space="preserve"> </w:t>
                      </w:r>
                      <w:proofErr w:type="gramStart"/>
                      <w:r w:rsidR="00CC4336" w:rsidRPr="00E20A47">
                        <w:rPr>
                          <w:rFonts w:ascii="Times New Roman" w:hAnsi="Times New Roman" w:cs="Times New Roman" w:hint="eastAsia"/>
                        </w:rPr>
                        <w:t>Panel</w:t>
                      </w:r>
                      <w:proofErr w:type="gramEnd"/>
                      <w:r w:rsidR="00CC4336" w:rsidRPr="00E20A47">
                        <w:rPr>
                          <w:rFonts w:ascii="Times New Roman" w:hAnsi="Times New Roman" w:cs="Times New Roman" w:hint="eastAsia"/>
                        </w:rPr>
                        <w:t xml:space="preserve"> A: Age-standardized incidence rate (ASIR). Higher ASIR is observed in regions such as the </w:t>
                      </w:r>
                      <w:r w:rsidR="003148DE" w:rsidRPr="00E20A47">
                        <w:rPr>
                          <w:rFonts w:ascii="Times New Roman" w:hAnsi="Times New Roman" w:cs="Times New Roman" w:hint="eastAsia"/>
                        </w:rPr>
                        <w:t>Thailand</w:t>
                      </w:r>
                      <w:r w:rsidR="00CC4336" w:rsidRPr="00E20A47">
                        <w:rPr>
                          <w:rFonts w:ascii="Times New Roman" w:hAnsi="Times New Roman" w:cs="Times New Roman" w:hint="eastAsia"/>
                        </w:rPr>
                        <w:t>.</w:t>
                      </w:r>
                      <w:r w:rsidR="00D35FCD" w:rsidRPr="00E20A47">
                        <w:rPr>
                          <w:rFonts w:ascii="Times New Roman" w:hAnsi="Times New Roman" w:cs="Times New Roman" w:hint="eastAsia"/>
                        </w:rPr>
                        <w:t xml:space="preserve"> </w:t>
                      </w:r>
                      <w:r w:rsidR="00CC4336" w:rsidRPr="00E20A47">
                        <w:rPr>
                          <w:rFonts w:ascii="Times New Roman" w:hAnsi="Times New Roman" w:cs="Times New Roman" w:hint="eastAsia"/>
                        </w:rPr>
                        <w:t xml:space="preserve">Panel B: Age-standardized prevalence rate (ASPR). Higher ASPR is concentrated in North Africa, the Middle East, and some Southeast Asian </w:t>
                      </w:r>
                      <w:proofErr w:type="spellStart"/>
                      <w:proofErr w:type="gramStart"/>
                      <w:r w:rsidR="00CC4336" w:rsidRPr="00E20A47">
                        <w:rPr>
                          <w:rFonts w:ascii="Times New Roman" w:hAnsi="Times New Roman" w:cs="Times New Roman" w:hint="eastAsia"/>
                        </w:rPr>
                        <w:t>countries.Panel</w:t>
                      </w:r>
                      <w:proofErr w:type="spellEnd"/>
                      <w:proofErr w:type="gramEnd"/>
                      <w:r w:rsidR="00CC4336" w:rsidRPr="00E20A47">
                        <w:rPr>
                          <w:rFonts w:ascii="Times New Roman" w:hAnsi="Times New Roman" w:cs="Times New Roman" w:hint="eastAsia"/>
                        </w:rPr>
                        <w:t xml:space="preserve"> C: Age-standardized death rate (ASDR). The highest ASDR is found in </w:t>
                      </w:r>
                      <w:r w:rsidR="00D35FCD" w:rsidRPr="00E20A47">
                        <w:rPr>
                          <w:rFonts w:ascii="Times New Roman" w:hAnsi="Times New Roman" w:cs="Times New Roman" w:hint="eastAsia"/>
                        </w:rPr>
                        <w:t xml:space="preserve">China </w:t>
                      </w:r>
                      <w:proofErr w:type="gramStart"/>
                      <w:r w:rsidR="00D35FCD" w:rsidRPr="00E20A47">
                        <w:rPr>
                          <w:rFonts w:ascii="Times New Roman" w:hAnsi="Times New Roman" w:cs="Times New Roman" w:hint="eastAsia"/>
                        </w:rPr>
                        <w:t xml:space="preserve">etc. </w:t>
                      </w:r>
                      <w:r w:rsidR="00CC4336" w:rsidRPr="00E20A47">
                        <w:rPr>
                          <w:rFonts w:ascii="Times New Roman" w:hAnsi="Times New Roman" w:cs="Times New Roman" w:hint="eastAsia"/>
                        </w:rPr>
                        <w:t>,</w:t>
                      </w:r>
                      <w:proofErr w:type="gramEnd"/>
                      <w:r w:rsidR="00CC4336" w:rsidRPr="00E20A47">
                        <w:rPr>
                          <w:rFonts w:ascii="Times New Roman" w:hAnsi="Times New Roman" w:cs="Times New Roman" w:hint="eastAsia"/>
                        </w:rPr>
                        <w:t xml:space="preserve"> while other regions have relatively lower </w:t>
                      </w:r>
                      <w:proofErr w:type="spellStart"/>
                      <w:r w:rsidR="00CC4336" w:rsidRPr="00E20A47">
                        <w:rPr>
                          <w:rFonts w:ascii="Times New Roman" w:hAnsi="Times New Roman" w:cs="Times New Roman" w:hint="eastAsia"/>
                        </w:rPr>
                        <w:t>rates.Panel</w:t>
                      </w:r>
                      <w:proofErr w:type="spellEnd"/>
                      <w:r w:rsidR="00CC4336" w:rsidRPr="00E20A47">
                        <w:rPr>
                          <w:rFonts w:ascii="Times New Roman" w:hAnsi="Times New Roman" w:cs="Times New Roman" w:hint="eastAsia"/>
                        </w:rPr>
                        <w:t xml:space="preserve"> D: Age-standardized DALY rate. </w:t>
                      </w:r>
                      <w:r w:rsidR="00D35FCD" w:rsidRPr="00E20A47">
                        <w:rPr>
                          <w:rFonts w:ascii="Times New Roman" w:hAnsi="Times New Roman" w:cs="Times New Roman" w:hint="eastAsia"/>
                        </w:rPr>
                        <w:t>China, etc.</w:t>
                      </w:r>
                      <w:r w:rsidR="00CC4336" w:rsidRPr="00E20A47">
                        <w:rPr>
                          <w:rFonts w:ascii="Times New Roman" w:hAnsi="Times New Roman" w:cs="Times New Roman" w:hint="eastAsia"/>
                        </w:rPr>
                        <w:t xml:space="preserve"> exhibit the highest burden of health loss, while developed regions such as North America and Western Europe show lower </w:t>
                      </w:r>
                      <w:proofErr w:type="spellStart"/>
                      <w:proofErr w:type="gramStart"/>
                      <w:r w:rsidR="00CC4336" w:rsidRPr="00E20A47">
                        <w:rPr>
                          <w:rFonts w:ascii="Times New Roman" w:hAnsi="Times New Roman" w:cs="Times New Roman" w:hint="eastAsia"/>
                        </w:rPr>
                        <w:t>rates.Panels</w:t>
                      </w:r>
                      <w:proofErr w:type="spellEnd"/>
                      <w:proofErr w:type="gramEnd"/>
                      <w:r w:rsidR="00CC4336" w:rsidRPr="00E20A47">
                        <w:rPr>
                          <w:rFonts w:ascii="Times New Roman" w:hAnsi="Times New Roman" w:cs="Times New Roman" w:hint="eastAsia"/>
                        </w:rPr>
                        <w:t xml:space="preserve"> E-H: Show the global distribution of absolute numbers of cases, including incidence, prevalence, deaths, and DALYs. The gradient from blue to red represents the range of total case </w:t>
                      </w:r>
                      <w:proofErr w:type="spellStart"/>
                      <w:proofErr w:type="gramStart"/>
                      <w:r w:rsidR="00CC4336" w:rsidRPr="00E20A47">
                        <w:rPr>
                          <w:rFonts w:ascii="Times New Roman" w:hAnsi="Times New Roman" w:cs="Times New Roman" w:hint="eastAsia"/>
                        </w:rPr>
                        <w:t>counts.Panel</w:t>
                      </w:r>
                      <w:proofErr w:type="spellEnd"/>
                      <w:proofErr w:type="gramEnd"/>
                      <w:r w:rsidR="00CC4336" w:rsidRPr="00E20A47">
                        <w:rPr>
                          <w:rFonts w:ascii="Times New Roman" w:hAnsi="Times New Roman" w:cs="Times New Roman" w:hint="eastAsia"/>
                        </w:rPr>
                        <w:t xml:space="preserve"> E: Number of incidence cases. The highest counts are observed in densely populated regions such as South Asia (e.g., India), China, and Sub-Saharan Africa.</w:t>
                      </w:r>
                      <w:r w:rsidR="003148DE" w:rsidRPr="00E20A47">
                        <w:rPr>
                          <w:rFonts w:ascii="Times New Roman" w:hAnsi="Times New Roman" w:cs="Times New Roman" w:hint="eastAsia"/>
                        </w:rPr>
                        <w:t xml:space="preserve"> </w:t>
                      </w:r>
                      <w:r w:rsidR="00CC4336" w:rsidRPr="00E20A47">
                        <w:rPr>
                          <w:rFonts w:ascii="Times New Roman" w:hAnsi="Times New Roman" w:cs="Times New Roman" w:hint="eastAsia"/>
                        </w:rPr>
                        <w:t xml:space="preserve">Panel F: Number of prevalence cases. </w:t>
                      </w:r>
                      <w:r w:rsidR="00B1477F" w:rsidRPr="00E20A47">
                        <w:rPr>
                          <w:rFonts w:ascii="Times New Roman" w:hAnsi="Times New Roman" w:cs="Times New Roman" w:hint="eastAsia"/>
                        </w:rPr>
                        <w:t>the United States</w:t>
                      </w:r>
                      <w:r w:rsidR="00CC4336" w:rsidRPr="00E20A47">
                        <w:rPr>
                          <w:rFonts w:ascii="Times New Roman" w:hAnsi="Times New Roman" w:cs="Times New Roman" w:hint="eastAsia"/>
                        </w:rPr>
                        <w:t xml:space="preserve">, the Middle East, and Sub-Saharan Africa show the highest prevalence numbers, while North America and Europe have relatively lower </w:t>
                      </w:r>
                      <w:proofErr w:type="spellStart"/>
                      <w:proofErr w:type="gramStart"/>
                      <w:r w:rsidR="00CC4336" w:rsidRPr="00E20A47">
                        <w:rPr>
                          <w:rFonts w:ascii="Times New Roman" w:hAnsi="Times New Roman" w:cs="Times New Roman" w:hint="eastAsia"/>
                        </w:rPr>
                        <w:t>counts.Panel</w:t>
                      </w:r>
                      <w:proofErr w:type="spellEnd"/>
                      <w:proofErr w:type="gramEnd"/>
                      <w:r w:rsidR="00CC4336" w:rsidRPr="00E20A47">
                        <w:rPr>
                          <w:rFonts w:ascii="Times New Roman" w:hAnsi="Times New Roman" w:cs="Times New Roman" w:hint="eastAsia"/>
                        </w:rPr>
                        <w:t xml:space="preserve"> G: Number of death cases. The highest death tolls are observed in </w:t>
                      </w:r>
                      <w:r w:rsidR="004A67CA" w:rsidRPr="00E20A47">
                        <w:rPr>
                          <w:rFonts w:ascii="Times New Roman" w:hAnsi="Times New Roman" w:cs="Times New Roman" w:hint="eastAsia"/>
                        </w:rPr>
                        <w:t>the United States</w:t>
                      </w:r>
                      <w:r w:rsidR="00CC4336" w:rsidRPr="00E20A47">
                        <w:rPr>
                          <w:rFonts w:ascii="Times New Roman" w:hAnsi="Times New Roman" w:cs="Times New Roman" w:hint="eastAsia"/>
                        </w:rPr>
                        <w:t>, with lower numbers in developed countries.</w:t>
                      </w:r>
                      <w:r w:rsidR="004A67CA" w:rsidRPr="00E20A47">
                        <w:rPr>
                          <w:rFonts w:ascii="Times New Roman" w:hAnsi="Times New Roman" w:cs="Times New Roman" w:hint="eastAsia"/>
                        </w:rPr>
                        <w:t xml:space="preserve"> </w:t>
                      </w:r>
                      <w:r w:rsidR="00CC4336" w:rsidRPr="00E20A47">
                        <w:rPr>
                          <w:rFonts w:ascii="Times New Roman" w:hAnsi="Times New Roman" w:cs="Times New Roman" w:hint="eastAsia"/>
                        </w:rPr>
                        <w:t xml:space="preserve">Panel H: Number of DALYs. The burden of DALYs is concentrated in </w:t>
                      </w:r>
                      <w:r w:rsidR="00B1477F" w:rsidRPr="00E20A47">
                        <w:rPr>
                          <w:rFonts w:ascii="Times New Roman" w:hAnsi="Times New Roman" w:cs="Times New Roman" w:hint="eastAsia"/>
                        </w:rPr>
                        <w:t>India</w:t>
                      </w:r>
                      <w:r w:rsidR="00CC4336" w:rsidRPr="00E20A47">
                        <w:rPr>
                          <w:rFonts w:ascii="Times New Roman" w:hAnsi="Times New Roman" w:cs="Times New Roman" w:hint="eastAsia"/>
                        </w:rPr>
                        <w:t>.</w:t>
                      </w:r>
                    </w:p>
                  </w:txbxContent>
                </v:textbox>
                <w10:wrap type="topAndBottom"/>
              </v:shape>
            </w:pict>
          </mc:Fallback>
        </mc:AlternateContent>
      </w:r>
      <w:r w:rsidR="00122C09">
        <w:rPr>
          <w:rFonts w:hint="eastAsia"/>
        </w:rPr>
        <w:br w:type="page"/>
      </w:r>
      <w:bookmarkStart w:id="0" w:name="_GoBack"/>
      <w:bookmarkEnd w:id="0"/>
    </w:p>
    <w:p w14:paraId="26AB211E" w14:textId="248F6F06" w:rsidR="00122C09" w:rsidRDefault="00D517D3">
      <w:pPr>
        <w:widowControl/>
        <w:jc w:val="left"/>
      </w:pPr>
      <w:r>
        <w:rPr>
          <w:noProof/>
        </w:rPr>
        <w:lastRenderedPageBreak/>
        <mc:AlternateContent>
          <mc:Choice Requires="wps">
            <w:drawing>
              <wp:anchor distT="0" distB="0" distL="114300" distR="114300" simplePos="0" relativeHeight="251666432" behindDoc="0" locked="0" layoutInCell="1" allowOverlap="1" wp14:anchorId="2DA2F952" wp14:editId="78BD4936">
                <wp:simplePos x="0" y="0"/>
                <wp:positionH relativeFrom="column">
                  <wp:posOffset>0</wp:posOffset>
                </wp:positionH>
                <wp:positionV relativeFrom="paragraph">
                  <wp:posOffset>5146675</wp:posOffset>
                </wp:positionV>
                <wp:extent cx="12724130" cy="635"/>
                <wp:effectExtent l="0" t="0" r="0" b="0"/>
                <wp:wrapTopAndBottom/>
                <wp:docPr id="610028815" name="文本框 1"/>
                <wp:cNvGraphicFramePr/>
                <a:graphic xmlns:a="http://schemas.openxmlformats.org/drawingml/2006/main">
                  <a:graphicData uri="http://schemas.microsoft.com/office/word/2010/wordprocessingShape">
                    <wps:wsp>
                      <wps:cNvSpPr txBox="1"/>
                      <wps:spPr>
                        <a:xfrm>
                          <a:off x="0" y="0"/>
                          <a:ext cx="12724130" cy="635"/>
                        </a:xfrm>
                        <a:prstGeom prst="rect">
                          <a:avLst/>
                        </a:prstGeom>
                        <a:solidFill>
                          <a:prstClr val="white"/>
                        </a:solidFill>
                        <a:ln>
                          <a:noFill/>
                        </a:ln>
                      </wps:spPr>
                      <wps:txbx>
                        <w:txbxContent>
                          <w:p w14:paraId="229F3B92" w14:textId="6596CCDF" w:rsidR="00D517D3" w:rsidRPr="00D517D3" w:rsidRDefault="00D517D3" w:rsidP="00D517D3">
                            <w:pPr>
                              <w:pStyle w:val="a3"/>
                              <w:rPr>
                                <w:rFonts w:ascii="Times New Roman" w:hAnsi="Times New Roman" w:cs="Times New Roman"/>
                              </w:rPr>
                            </w:pPr>
                            <w:r w:rsidRPr="00D517D3">
                              <w:rPr>
                                <w:rFonts w:ascii="Times New Roman" w:hAnsi="Times New Roman" w:cs="Times New Roman"/>
                                <w:b/>
                                <w:bCs/>
                              </w:rPr>
                              <w:t xml:space="preserve">Supplement Figure </w:t>
                            </w:r>
                            <w:r w:rsidRPr="00D517D3">
                              <w:rPr>
                                <w:rFonts w:ascii="Times New Roman" w:hAnsi="Times New Roman" w:cs="Times New Roman"/>
                                <w:b/>
                                <w:bCs/>
                              </w:rPr>
                              <w:fldChar w:fldCharType="begin"/>
                            </w:r>
                            <w:r w:rsidRPr="00D517D3">
                              <w:rPr>
                                <w:rFonts w:ascii="Times New Roman" w:hAnsi="Times New Roman" w:cs="Times New Roman"/>
                                <w:b/>
                                <w:bCs/>
                              </w:rPr>
                              <w:instrText xml:space="preserve"> SEQ Supplement_Figure \* ARABIC </w:instrText>
                            </w:r>
                            <w:r w:rsidRPr="00D517D3">
                              <w:rPr>
                                <w:rFonts w:ascii="Times New Roman" w:hAnsi="Times New Roman" w:cs="Times New Roman"/>
                                <w:b/>
                                <w:bCs/>
                              </w:rPr>
                              <w:fldChar w:fldCharType="separate"/>
                            </w:r>
                            <w:r w:rsidR="005D68A2">
                              <w:rPr>
                                <w:rFonts w:ascii="Times New Roman" w:hAnsi="Times New Roman" w:cs="Times New Roman"/>
                                <w:b/>
                                <w:bCs/>
                                <w:noProof/>
                              </w:rPr>
                              <w:t>3</w:t>
                            </w:r>
                            <w:r w:rsidRPr="00D517D3">
                              <w:rPr>
                                <w:rFonts w:ascii="Times New Roman" w:hAnsi="Times New Roman" w:cs="Times New Roman"/>
                                <w:b/>
                                <w:bCs/>
                              </w:rPr>
                              <w:fldChar w:fldCharType="end"/>
                            </w:r>
                            <w:r w:rsidRPr="00D517D3">
                              <w:rPr>
                                <w:rFonts w:ascii="Times New Roman" w:hAnsi="Times New Roman" w:cs="Times New Roman"/>
                              </w:rPr>
                              <w:t xml:space="preserve">  Distribution of Changes in the Number of Incidence (A), Prevalence (B), Deaths (C), and DALYs (D) of Endocarditis in 204 Countries and Territories Worldwide, 1990–2021. Panels A-D: Present the percentage changes in the number of </w:t>
                            </w:r>
                            <w:proofErr w:type="gramStart"/>
                            <w:r w:rsidRPr="00D517D3">
                              <w:rPr>
                                <w:rFonts w:ascii="Times New Roman" w:hAnsi="Times New Roman" w:cs="Times New Roman"/>
                              </w:rPr>
                              <w:t>incidence</w:t>
                            </w:r>
                            <w:proofErr w:type="gramEnd"/>
                            <w:r w:rsidRPr="00D517D3">
                              <w:rPr>
                                <w:rFonts w:ascii="Times New Roman" w:hAnsi="Times New Roman" w:cs="Times New Roman"/>
                              </w:rPr>
                              <w:t xml:space="preserve">, prevalence, deaths, and DALYs of endocarditis between 1990 and 2021 across 204 countries and territories. The color gradient represents different percentage change ranges (see the legend on the right), reflecting the trends and dynamic shifts in disease burden across </w:t>
                            </w:r>
                            <w:proofErr w:type="spellStart"/>
                            <w:proofErr w:type="gramStart"/>
                            <w:r w:rsidRPr="00D517D3">
                              <w:rPr>
                                <w:rFonts w:ascii="Times New Roman" w:hAnsi="Times New Roman" w:cs="Times New Roman"/>
                              </w:rPr>
                              <w:t>regions:Panel</w:t>
                            </w:r>
                            <w:proofErr w:type="spellEnd"/>
                            <w:proofErr w:type="gramEnd"/>
                            <w:r w:rsidRPr="00D517D3">
                              <w:rPr>
                                <w:rFonts w:ascii="Times New Roman" w:hAnsi="Times New Roman" w:cs="Times New Roman"/>
                              </w:rPr>
                              <w:t xml:space="preserve"> A: Change in the number of incidence cases. Most countries experienced an increase in incidence cases within the range of 0%-200%. In countries such as Canada and Australia, the increase was between 200%-400</w:t>
                            </w:r>
                            <w:proofErr w:type="gramStart"/>
                            <w:r w:rsidRPr="00D517D3">
                              <w:rPr>
                                <w:rFonts w:ascii="Times New Roman" w:hAnsi="Times New Roman" w:cs="Times New Roman"/>
                              </w:rPr>
                              <w:t>%.Panel</w:t>
                            </w:r>
                            <w:proofErr w:type="gramEnd"/>
                            <w:r w:rsidRPr="00D517D3">
                              <w:rPr>
                                <w:rFonts w:ascii="Times New Roman" w:hAnsi="Times New Roman" w:cs="Times New Roman"/>
                              </w:rPr>
                              <w:t xml:space="preserve"> B: Change in the number of prevalence cases. Prevalence has grown significantly globally, with most countries showing an increase of 200%-400%, reflecting the accumulation of chronic cases and the impact of aging </w:t>
                            </w:r>
                            <w:proofErr w:type="spellStart"/>
                            <w:proofErr w:type="gramStart"/>
                            <w:r w:rsidRPr="00D517D3">
                              <w:rPr>
                                <w:rFonts w:ascii="Times New Roman" w:hAnsi="Times New Roman" w:cs="Times New Roman"/>
                              </w:rPr>
                              <w:t>populations.Panel</w:t>
                            </w:r>
                            <w:proofErr w:type="spellEnd"/>
                            <w:proofErr w:type="gramEnd"/>
                            <w:r w:rsidRPr="00D517D3">
                              <w:rPr>
                                <w:rFonts w:ascii="Times New Roman" w:hAnsi="Times New Roman" w:cs="Times New Roman"/>
                              </w:rPr>
                              <w:t xml:space="preserve"> C: Change in the number of deaths. The change in deaths varies greatly across regions, with some countries showing significant increases in death counts, while China shows a declining trend.</w:t>
                            </w:r>
                          </w:p>
                          <w:p w14:paraId="17900922" w14:textId="51BD1A24" w:rsidR="00D517D3" w:rsidRPr="00D517D3" w:rsidRDefault="00D517D3" w:rsidP="00D517D3">
                            <w:pPr>
                              <w:pStyle w:val="a3"/>
                              <w:rPr>
                                <w:rFonts w:ascii="Times New Roman" w:hAnsi="Times New Roman" w:cs="Times New Roman"/>
                                <w:noProof/>
                                <w:sz w:val="22"/>
                              </w:rPr>
                            </w:pPr>
                            <w:r w:rsidRPr="00D517D3">
                              <w:rPr>
                                <w:rFonts w:ascii="Times New Roman" w:hAnsi="Times New Roman" w:cs="Times New Roman"/>
                              </w:rPr>
                              <w:t>Panel D: Change in the number of DALYs. DALYs (disability-adjusted life years) have significantly increased in many regions, while some countries have shown a decrease. This figure comprehensively illustrates the dynamic changes in endocarditis burden across regions, emphasizing the growing challenges of disease burden in resource-limited areas.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A2F952" id="_x0000_s1028" type="#_x0000_t202" style="position:absolute;margin-left:0;margin-top:405.25pt;width:1001.9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" stroked="f">
                <v:textbox style="mso-fit-shape-to-text:t" inset="0,0,0,0">
                  <w:txbxContent>
                    <w:p w14:paraId="229F3B92" w14:textId="6596CCDF" w:rsidR="00D517D3" w:rsidRPr="00D517D3" w:rsidRDefault="00D517D3" w:rsidP="00D517D3">
                      <w:pPr>
                        <w:pStyle w:val="a3"/>
                        <w:rPr>
                          <w:rFonts w:ascii="Times New Roman" w:hAnsi="Times New Roman" w:cs="Times New Roman"/>
                        </w:rPr>
                      </w:pPr>
                      <w:r w:rsidRPr="00D517D3">
                        <w:rPr>
                          <w:rFonts w:ascii="Times New Roman" w:hAnsi="Times New Roman" w:cs="Times New Roman"/>
                          <w:b/>
                          <w:bCs/>
                        </w:rPr>
                        <w:t xml:space="preserve">Supplement Figure </w:t>
                      </w:r>
                      <w:r w:rsidRPr="00D517D3">
                        <w:rPr>
                          <w:rFonts w:ascii="Times New Roman" w:hAnsi="Times New Roman" w:cs="Times New Roman"/>
                          <w:b/>
                          <w:bCs/>
                        </w:rPr>
                        <w:fldChar w:fldCharType="begin"/>
                      </w:r>
                      <w:r w:rsidRPr="00D517D3">
                        <w:rPr>
                          <w:rFonts w:ascii="Times New Roman" w:hAnsi="Times New Roman" w:cs="Times New Roman"/>
                          <w:b/>
                          <w:bCs/>
                        </w:rPr>
                        <w:instrText xml:space="preserve"> SEQ Supplement_Figure \* ARABIC </w:instrText>
                      </w:r>
                      <w:r w:rsidRPr="00D517D3">
                        <w:rPr>
                          <w:rFonts w:ascii="Times New Roman" w:hAnsi="Times New Roman" w:cs="Times New Roman"/>
                          <w:b/>
                          <w:bCs/>
                        </w:rPr>
                        <w:fldChar w:fldCharType="separate"/>
                      </w:r>
                      <w:r w:rsidR="005D68A2">
                        <w:rPr>
                          <w:rFonts w:ascii="Times New Roman" w:hAnsi="Times New Roman" w:cs="Times New Roman"/>
                          <w:b/>
                          <w:bCs/>
                          <w:noProof/>
                        </w:rPr>
                        <w:t>3</w:t>
                      </w:r>
                      <w:r w:rsidRPr="00D517D3">
                        <w:rPr>
                          <w:rFonts w:ascii="Times New Roman" w:hAnsi="Times New Roman" w:cs="Times New Roman"/>
                          <w:b/>
                          <w:bCs/>
                        </w:rPr>
                        <w:fldChar w:fldCharType="end"/>
                      </w:r>
                      <w:r w:rsidRPr="00D517D3">
                        <w:rPr>
                          <w:rFonts w:ascii="Times New Roman" w:hAnsi="Times New Roman" w:cs="Times New Roman"/>
                        </w:rPr>
                        <w:t xml:space="preserve">  Distribution of Changes in the Number of Incidence (A), Prevalence (B), Deaths (C), and DALYs (D) of Endocarditis in 204 Countries and Territories Worldwide, 1990–2021. Panels A-D: Present the percentage changes in the number of </w:t>
                      </w:r>
                      <w:proofErr w:type="gramStart"/>
                      <w:r w:rsidRPr="00D517D3">
                        <w:rPr>
                          <w:rFonts w:ascii="Times New Roman" w:hAnsi="Times New Roman" w:cs="Times New Roman"/>
                        </w:rPr>
                        <w:t>incidence</w:t>
                      </w:r>
                      <w:proofErr w:type="gramEnd"/>
                      <w:r w:rsidRPr="00D517D3">
                        <w:rPr>
                          <w:rFonts w:ascii="Times New Roman" w:hAnsi="Times New Roman" w:cs="Times New Roman"/>
                        </w:rPr>
                        <w:t xml:space="preserve">, prevalence, deaths, and DALYs of endocarditis between 1990 and 2021 across 204 countries and territories. The color gradient represents different percentage change ranges (see the legend on the right), reflecting the trends and dynamic shifts in disease burden across </w:t>
                      </w:r>
                      <w:proofErr w:type="spellStart"/>
                      <w:proofErr w:type="gramStart"/>
                      <w:r w:rsidRPr="00D517D3">
                        <w:rPr>
                          <w:rFonts w:ascii="Times New Roman" w:hAnsi="Times New Roman" w:cs="Times New Roman"/>
                        </w:rPr>
                        <w:t>regions:Panel</w:t>
                      </w:r>
                      <w:proofErr w:type="spellEnd"/>
                      <w:proofErr w:type="gramEnd"/>
                      <w:r w:rsidRPr="00D517D3">
                        <w:rPr>
                          <w:rFonts w:ascii="Times New Roman" w:hAnsi="Times New Roman" w:cs="Times New Roman"/>
                        </w:rPr>
                        <w:t xml:space="preserve"> A: Change in the number of incidence cases. Most countries experienced an increase in incidence cases within the range of 0%-200%. In countries such as Canada and Australia, the increase was between 200%-400</w:t>
                      </w:r>
                      <w:proofErr w:type="gramStart"/>
                      <w:r w:rsidRPr="00D517D3">
                        <w:rPr>
                          <w:rFonts w:ascii="Times New Roman" w:hAnsi="Times New Roman" w:cs="Times New Roman"/>
                        </w:rPr>
                        <w:t>%.Panel</w:t>
                      </w:r>
                      <w:proofErr w:type="gramEnd"/>
                      <w:r w:rsidRPr="00D517D3">
                        <w:rPr>
                          <w:rFonts w:ascii="Times New Roman" w:hAnsi="Times New Roman" w:cs="Times New Roman"/>
                        </w:rPr>
                        <w:t xml:space="preserve"> B: Change in the number of prevalence cases. Prevalence has grown significantly globally, with most countries showing an increase of 200%-400%, reflecting the accumulation of chronic cases and the impact of aging </w:t>
                      </w:r>
                      <w:proofErr w:type="spellStart"/>
                      <w:proofErr w:type="gramStart"/>
                      <w:r w:rsidRPr="00D517D3">
                        <w:rPr>
                          <w:rFonts w:ascii="Times New Roman" w:hAnsi="Times New Roman" w:cs="Times New Roman"/>
                        </w:rPr>
                        <w:t>populations.Panel</w:t>
                      </w:r>
                      <w:proofErr w:type="spellEnd"/>
                      <w:proofErr w:type="gramEnd"/>
                      <w:r w:rsidRPr="00D517D3">
                        <w:rPr>
                          <w:rFonts w:ascii="Times New Roman" w:hAnsi="Times New Roman" w:cs="Times New Roman"/>
                        </w:rPr>
                        <w:t xml:space="preserve"> C: Change in the number of deaths. The change in deaths varies greatly across regions, with some countries showing significant increases in death counts, while China shows a declining trend.</w:t>
                      </w:r>
                    </w:p>
                    <w:p w14:paraId="17900922" w14:textId="51BD1A24" w:rsidR="00D517D3" w:rsidRPr="00D517D3" w:rsidRDefault="00D517D3" w:rsidP="00D517D3">
                      <w:pPr>
                        <w:pStyle w:val="a3"/>
                        <w:rPr>
                          <w:rFonts w:ascii="Times New Roman" w:hAnsi="Times New Roman" w:cs="Times New Roman"/>
                          <w:noProof/>
                          <w:sz w:val="22"/>
                        </w:rPr>
                      </w:pPr>
                      <w:r w:rsidRPr="00D517D3">
                        <w:rPr>
                          <w:rFonts w:ascii="Times New Roman" w:hAnsi="Times New Roman" w:cs="Times New Roman"/>
                        </w:rPr>
                        <w:t>Panel D: Change in the number of DALYs. DALYs (disability-adjusted life years) have significantly increased in many regions, while some countries have shown a decrease. This figure comprehensively illustrates the dynamic changes in endocarditis burden across regions, emphasizing the growing challenges of disease burden in resource-limited areas.</w:t>
                      </w:r>
                    </w:p>
                  </w:txbxContent>
                </v:textbox>
                <w10:wrap type="topAndBottom"/>
              </v:shape>
            </w:pict>
          </mc:Fallback>
        </mc:AlternateContent>
      </w:r>
      <w:r w:rsidR="00EE3809">
        <w:rPr>
          <w:rFonts w:hint="eastAsia"/>
          <w:noProof/>
        </w:rPr>
        <w:drawing>
          <wp:anchor distT="0" distB="0" distL="114300" distR="114300" simplePos="0" relativeHeight="251664384" behindDoc="0" locked="0" layoutInCell="1" allowOverlap="1" wp14:anchorId="0CC716A6" wp14:editId="33EFA535">
            <wp:simplePos x="0" y="0"/>
            <wp:positionH relativeFrom="margin">
              <wp:align>left</wp:align>
            </wp:positionH>
            <wp:positionV relativeFrom="paragraph">
              <wp:posOffset>0</wp:posOffset>
            </wp:positionV>
            <wp:extent cx="12724130" cy="5089525"/>
            <wp:effectExtent l="0" t="0" r="1270" b="0"/>
            <wp:wrapTopAndBottom/>
            <wp:docPr id="2530060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06019" name="图片 253006019"/>
                    <pic:cNvPicPr/>
                  </pic:nvPicPr>
                  <pic:blipFill>
                    <a:blip r:embed="rId10"/>
                    <a:stretch>
                      <a:fillRect/>
                    </a:stretch>
                  </pic:blipFill>
                  <pic:spPr>
                    <a:xfrm>
                      <a:off x="0" y="0"/>
                      <a:ext cx="12724130" cy="5089525"/>
                    </a:xfrm>
                    <a:prstGeom prst="rect">
                      <a:avLst/>
                    </a:prstGeom>
                  </pic:spPr>
                </pic:pic>
              </a:graphicData>
            </a:graphic>
            <wp14:sizeRelH relativeFrom="margin">
              <wp14:pctWidth>0</wp14:pctWidth>
            </wp14:sizeRelH>
            <wp14:sizeRelV relativeFrom="margin">
              <wp14:pctHeight>0</wp14:pctHeight>
            </wp14:sizeRelV>
          </wp:anchor>
        </w:drawing>
      </w:r>
      <w:r w:rsidR="00122C09">
        <w:rPr>
          <w:rFonts w:hint="eastAsia"/>
        </w:rPr>
        <w:br w:type="page"/>
      </w:r>
    </w:p>
    <w:p w14:paraId="5337E840" w14:textId="109026BF" w:rsidR="00122C09" w:rsidRDefault="000C4CBD">
      <w:pPr>
        <w:widowControl/>
        <w:jc w:val="left"/>
      </w:pPr>
      <w:r>
        <w:rPr>
          <w:rFonts w:hint="eastAsia"/>
          <w:noProof/>
        </w:rPr>
        <w:lastRenderedPageBreak/>
        <w:drawing>
          <wp:anchor distT="0" distB="0" distL="114300" distR="114300" simplePos="0" relativeHeight="251667456" behindDoc="0" locked="0" layoutInCell="1" allowOverlap="1" wp14:anchorId="5A3544DC" wp14:editId="1E1DE372">
            <wp:simplePos x="0" y="0"/>
            <wp:positionH relativeFrom="margin">
              <wp:align>center</wp:align>
            </wp:positionH>
            <wp:positionV relativeFrom="paragraph">
              <wp:posOffset>0</wp:posOffset>
            </wp:positionV>
            <wp:extent cx="6913880" cy="6913880"/>
            <wp:effectExtent l="0" t="0" r="1270" b="1270"/>
            <wp:wrapTopAndBottom/>
            <wp:docPr id="15156946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94600" name="图片 1515694600"/>
                    <pic:cNvPicPr/>
                  </pic:nvPicPr>
                  <pic:blipFill>
                    <a:blip r:embed="rId11"/>
                    <a:stretch>
                      <a:fillRect/>
                    </a:stretch>
                  </pic:blipFill>
                  <pic:spPr>
                    <a:xfrm>
                      <a:off x="0" y="0"/>
                      <a:ext cx="6913880" cy="691388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9504" behindDoc="0" locked="0" layoutInCell="1" allowOverlap="1" wp14:anchorId="4489EFCF" wp14:editId="5A305353">
                <wp:simplePos x="0" y="0"/>
                <wp:positionH relativeFrom="column">
                  <wp:posOffset>-457200</wp:posOffset>
                </wp:positionH>
                <wp:positionV relativeFrom="paragraph">
                  <wp:posOffset>6974758</wp:posOffset>
                </wp:positionV>
                <wp:extent cx="13625195" cy="1423670"/>
                <wp:effectExtent l="0" t="0" r="0" b="5080"/>
                <wp:wrapTopAndBottom/>
                <wp:docPr id="1928604946" name="文本框 1"/>
                <wp:cNvGraphicFramePr/>
                <a:graphic xmlns:a="http://schemas.openxmlformats.org/drawingml/2006/main">
                  <a:graphicData uri="http://schemas.microsoft.com/office/word/2010/wordprocessingShape">
                    <wps:wsp>
                      <wps:cNvSpPr txBox="1"/>
                      <wps:spPr>
                        <a:xfrm>
                          <a:off x="0" y="0"/>
                          <a:ext cx="13625195" cy="1423670"/>
                        </a:xfrm>
                        <a:prstGeom prst="rect">
                          <a:avLst/>
                        </a:prstGeom>
                        <a:solidFill>
                          <a:prstClr val="white"/>
                        </a:solidFill>
                        <a:ln>
                          <a:noFill/>
                        </a:ln>
                      </wps:spPr>
                      <wps:txbx>
                        <w:txbxContent>
                          <w:p w14:paraId="3A646296" w14:textId="1305772E" w:rsidR="00D85ECF" w:rsidRPr="008040D5" w:rsidRDefault="00D85ECF" w:rsidP="00D85ECF">
                            <w:pPr>
                              <w:pStyle w:val="a3"/>
                              <w:rPr>
                                <w:rFonts w:ascii="Times New Roman" w:hAnsi="Times New Roman" w:cs="Times New Roman"/>
                                <w:noProof/>
                                <w:sz w:val="22"/>
                              </w:rPr>
                            </w:pPr>
                            <w:r w:rsidRPr="008040D5">
                              <w:rPr>
                                <w:rFonts w:ascii="Times New Roman" w:hAnsi="Times New Roman" w:cs="Times New Roman"/>
                                <w:b/>
                                <w:bCs/>
                              </w:rPr>
                              <w:t xml:space="preserve">Supplement Figure </w:t>
                            </w:r>
                            <w:r w:rsidRPr="008040D5">
                              <w:rPr>
                                <w:rFonts w:ascii="Times New Roman" w:hAnsi="Times New Roman" w:cs="Times New Roman"/>
                                <w:b/>
                                <w:bCs/>
                              </w:rPr>
                              <w:fldChar w:fldCharType="begin"/>
                            </w:r>
                            <w:r w:rsidRPr="008040D5">
                              <w:rPr>
                                <w:rFonts w:ascii="Times New Roman" w:hAnsi="Times New Roman" w:cs="Times New Roman"/>
                                <w:b/>
                                <w:bCs/>
                              </w:rPr>
                              <w:instrText xml:space="preserve"> SEQ Supplement_Figure \* ARABIC </w:instrText>
                            </w:r>
                            <w:r w:rsidRPr="008040D5">
                              <w:rPr>
                                <w:rFonts w:ascii="Times New Roman" w:hAnsi="Times New Roman" w:cs="Times New Roman"/>
                                <w:b/>
                                <w:bCs/>
                              </w:rPr>
                              <w:fldChar w:fldCharType="separate"/>
                            </w:r>
                            <w:r w:rsidR="005D68A2">
                              <w:rPr>
                                <w:rFonts w:ascii="Times New Roman" w:hAnsi="Times New Roman" w:cs="Times New Roman"/>
                                <w:b/>
                                <w:bCs/>
                                <w:noProof/>
                              </w:rPr>
                              <w:t>4</w:t>
                            </w:r>
                            <w:r w:rsidRPr="008040D5">
                              <w:rPr>
                                <w:rFonts w:ascii="Times New Roman" w:hAnsi="Times New Roman" w:cs="Times New Roman"/>
                                <w:b/>
                                <w:bCs/>
                              </w:rPr>
                              <w:fldChar w:fldCharType="end"/>
                            </w:r>
                            <w:r w:rsidRPr="008040D5">
                              <w:rPr>
                                <w:rFonts w:ascii="Times New Roman" w:hAnsi="Times New Roman" w:cs="Times New Roman"/>
                              </w:rPr>
                              <w:t xml:space="preserve">  Trends in the Temporal Distribution of ASR and the Number of Cases of Endocarditis in the GBD Regions by SDI Quintile, 1990–2021.</w:t>
                            </w:r>
                            <w:r w:rsidRPr="00542107">
                              <w:rPr>
                                <w:rFonts w:ascii="Times New Roman" w:hAnsi="Times New Roman" w:cs="Times New Roman"/>
                                <w:b/>
                                <w:bCs/>
                              </w:rPr>
                              <w:t>Panel A:</w:t>
                            </w:r>
                            <w:r w:rsidRPr="008040D5">
                              <w:rPr>
                                <w:rFonts w:ascii="Times New Roman" w:hAnsi="Times New Roman" w:cs="Times New Roman"/>
                              </w:rPr>
                              <w:t xml:space="preserve"> Shows the age-standardized rates (ASR) of endocarditis from 1990 to 2021, stratified by SDI (Socio-Demographic Index) quintiles, including incidence, prevalence, deaths, and disability-adjusted life years (DALYs).Incidence rate: All SDI groups show an increasing trend, with high-SDI countries consistently having the highest incidence rates. The low-middle SDI group shows the fastest </w:t>
                            </w:r>
                            <w:proofErr w:type="spellStart"/>
                            <w:r w:rsidRPr="008040D5">
                              <w:rPr>
                                <w:rFonts w:ascii="Times New Roman" w:hAnsi="Times New Roman" w:cs="Times New Roman"/>
                              </w:rPr>
                              <w:t>growth.Prevalence</w:t>
                            </w:r>
                            <w:proofErr w:type="spellEnd"/>
                            <w:r w:rsidRPr="008040D5">
                              <w:rPr>
                                <w:rFonts w:ascii="Times New Roman" w:hAnsi="Times New Roman" w:cs="Times New Roman"/>
                              </w:rPr>
                              <w:t xml:space="preserve"> rate: Prevalence rates have risen steadily across all groups, with high-SDI countries demonstrating significantly higher rates than other groups, reflecting the accumulation of chronic </w:t>
                            </w:r>
                            <w:proofErr w:type="spellStart"/>
                            <w:r w:rsidRPr="008040D5">
                              <w:rPr>
                                <w:rFonts w:ascii="Times New Roman" w:hAnsi="Times New Roman" w:cs="Times New Roman"/>
                              </w:rPr>
                              <w:t>cases.Death</w:t>
                            </w:r>
                            <w:proofErr w:type="spellEnd"/>
                            <w:r w:rsidRPr="008040D5">
                              <w:rPr>
                                <w:rFonts w:ascii="Times New Roman" w:hAnsi="Times New Roman" w:cs="Times New Roman"/>
                              </w:rPr>
                              <w:t xml:space="preserve"> rate: Death rates in high and high-middle SDI groups have gradually declined after 2000, while low-SDI countries show minimal changes with a slight downward </w:t>
                            </w:r>
                            <w:proofErr w:type="spellStart"/>
                            <w:r w:rsidRPr="008040D5">
                              <w:rPr>
                                <w:rFonts w:ascii="Times New Roman" w:hAnsi="Times New Roman" w:cs="Times New Roman"/>
                              </w:rPr>
                              <w:t>trend.DALYs</w:t>
                            </w:r>
                            <w:proofErr w:type="spellEnd"/>
                            <w:r w:rsidRPr="008040D5">
                              <w:rPr>
                                <w:rFonts w:ascii="Times New Roman" w:hAnsi="Times New Roman" w:cs="Times New Roman"/>
                              </w:rPr>
                              <w:t xml:space="preserve">: The DALY burden in low-SDI countries shows a significant disparity compared to other </w:t>
                            </w:r>
                            <w:proofErr w:type="spellStart"/>
                            <w:r w:rsidRPr="008040D5">
                              <w:rPr>
                                <w:rFonts w:ascii="Times New Roman" w:hAnsi="Times New Roman" w:cs="Times New Roman"/>
                              </w:rPr>
                              <w:t>regions.</w:t>
                            </w:r>
                            <w:r w:rsidRPr="00542107">
                              <w:rPr>
                                <w:rFonts w:ascii="Times New Roman" w:hAnsi="Times New Roman" w:cs="Times New Roman"/>
                                <w:b/>
                                <w:bCs/>
                              </w:rPr>
                              <w:t>Panel</w:t>
                            </w:r>
                            <w:proofErr w:type="spellEnd"/>
                            <w:r w:rsidRPr="00542107">
                              <w:rPr>
                                <w:rFonts w:ascii="Times New Roman" w:hAnsi="Times New Roman" w:cs="Times New Roman"/>
                                <w:b/>
                                <w:bCs/>
                              </w:rPr>
                              <w:t xml:space="preserve"> B:</w:t>
                            </w:r>
                            <w:r w:rsidRPr="008040D5">
                              <w:rPr>
                                <w:rFonts w:ascii="Times New Roman" w:hAnsi="Times New Roman" w:cs="Times New Roman"/>
                              </w:rPr>
                              <w:t xml:space="preserve"> Depicts the total number of cases of endocarditis from 1990 to 2021 in each SDI quintile, including incidence, prevalence, deaths, and </w:t>
                            </w:r>
                            <w:proofErr w:type="spellStart"/>
                            <w:r w:rsidRPr="008040D5">
                              <w:rPr>
                                <w:rFonts w:ascii="Times New Roman" w:hAnsi="Times New Roman" w:cs="Times New Roman"/>
                              </w:rPr>
                              <w:t>DALYs.Incidence</w:t>
                            </w:r>
                            <w:proofErr w:type="spellEnd"/>
                            <w:r w:rsidRPr="008040D5">
                              <w:rPr>
                                <w:rFonts w:ascii="Times New Roman" w:hAnsi="Times New Roman" w:cs="Times New Roman"/>
                              </w:rPr>
                              <w:t xml:space="preserve"> cases: The number of incidence cases has increased significantly across all SDI groups, with high-SDI countries experiencing the fastest </w:t>
                            </w:r>
                            <w:proofErr w:type="spellStart"/>
                            <w:r w:rsidRPr="008040D5">
                              <w:rPr>
                                <w:rFonts w:ascii="Times New Roman" w:hAnsi="Times New Roman" w:cs="Times New Roman"/>
                              </w:rPr>
                              <w:t>growth.Prevalence</w:t>
                            </w:r>
                            <w:proofErr w:type="spellEnd"/>
                            <w:r w:rsidRPr="008040D5">
                              <w:rPr>
                                <w:rFonts w:ascii="Times New Roman" w:hAnsi="Times New Roman" w:cs="Times New Roman"/>
                              </w:rPr>
                              <w:t xml:space="preserve"> cases: Prevalence cases are highest and growing fastest in high-SDI </w:t>
                            </w:r>
                            <w:proofErr w:type="spellStart"/>
                            <w:r w:rsidRPr="008040D5">
                              <w:rPr>
                                <w:rFonts w:ascii="Times New Roman" w:hAnsi="Times New Roman" w:cs="Times New Roman"/>
                              </w:rPr>
                              <w:t>countries.Death</w:t>
                            </w:r>
                            <w:proofErr w:type="spellEnd"/>
                            <w:r w:rsidRPr="008040D5">
                              <w:rPr>
                                <w:rFonts w:ascii="Times New Roman" w:hAnsi="Times New Roman" w:cs="Times New Roman"/>
                              </w:rPr>
                              <w:t xml:space="preserve"> cases: High-SDI countries have the highest number of death cases, while low-SDI countries have fewer cases and slower </w:t>
                            </w:r>
                            <w:proofErr w:type="spellStart"/>
                            <w:r w:rsidRPr="008040D5">
                              <w:rPr>
                                <w:rFonts w:ascii="Times New Roman" w:hAnsi="Times New Roman" w:cs="Times New Roman"/>
                              </w:rPr>
                              <w:t>growth.DALYs</w:t>
                            </w:r>
                            <w:proofErr w:type="spellEnd"/>
                            <w:r w:rsidRPr="008040D5">
                              <w:rPr>
                                <w:rFonts w:ascii="Times New Roman" w:hAnsi="Times New Roman" w:cs="Times New Roman"/>
                              </w:rPr>
                              <w:t xml:space="preserve"> cases: The burden of DALYs has increased across all SDI groups.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9EFCF" id="_x0000_s1029" type="#_x0000_t202" style="position:absolute;margin-left:-36pt;margin-top:549.2pt;width:1072.85pt;height:112.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" stroked="f">
                <v:textbox inset="0,0,0,0">
                  <w:txbxContent>
                    <w:p w14:paraId="3A646296" w14:textId="1305772E" w:rsidR="00D85ECF" w:rsidRPr="008040D5" w:rsidRDefault="00D85ECF" w:rsidP="00D85ECF">
                      <w:pPr>
                        <w:pStyle w:val="a3"/>
                        <w:rPr>
                          <w:rFonts w:ascii="Times New Roman" w:hAnsi="Times New Roman" w:cs="Times New Roman"/>
                          <w:noProof/>
                          <w:sz w:val="22"/>
                        </w:rPr>
                      </w:pPr>
                      <w:r w:rsidRPr="008040D5">
                        <w:rPr>
                          <w:rFonts w:ascii="Times New Roman" w:hAnsi="Times New Roman" w:cs="Times New Roman"/>
                          <w:b/>
                          <w:bCs/>
                        </w:rPr>
                        <w:t xml:space="preserve">Supplement Figure </w:t>
                      </w:r>
                      <w:r w:rsidRPr="008040D5">
                        <w:rPr>
                          <w:rFonts w:ascii="Times New Roman" w:hAnsi="Times New Roman" w:cs="Times New Roman"/>
                          <w:b/>
                          <w:bCs/>
                        </w:rPr>
                        <w:fldChar w:fldCharType="begin"/>
                      </w:r>
                      <w:r w:rsidRPr="008040D5">
                        <w:rPr>
                          <w:rFonts w:ascii="Times New Roman" w:hAnsi="Times New Roman" w:cs="Times New Roman"/>
                          <w:b/>
                          <w:bCs/>
                        </w:rPr>
                        <w:instrText xml:space="preserve"> SEQ Supplement_Figure \* ARABIC </w:instrText>
                      </w:r>
                      <w:r w:rsidRPr="008040D5">
                        <w:rPr>
                          <w:rFonts w:ascii="Times New Roman" w:hAnsi="Times New Roman" w:cs="Times New Roman"/>
                          <w:b/>
                          <w:bCs/>
                        </w:rPr>
                        <w:fldChar w:fldCharType="separate"/>
                      </w:r>
                      <w:r w:rsidR="005D68A2">
                        <w:rPr>
                          <w:rFonts w:ascii="Times New Roman" w:hAnsi="Times New Roman" w:cs="Times New Roman"/>
                          <w:b/>
                          <w:bCs/>
                          <w:noProof/>
                        </w:rPr>
                        <w:t>4</w:t>
                      </w:r>
                      <w:r w:rsidRPr="008040D5">
                        <w:rPr>
                          <w:rFonts w:ascii="Times New Roman" w:hAnsi="Times New Roman" w:cs="Times New Roman"/>
                          <w:b/>
                          <w:bCs/>
                        </w:rPr>
                        <w:fldChar w:fldCharType="end"/>
                      </w:r>
                      <w:r w:rsidRPr="008040D5">
                        <w:rPr>
                          <w:rFonts w:ascii="Times New Roman" w:hAnsi="Times New Roman" w:cs="Times New Roman"/>
                        </w:rPr>
                        <w:t xml:space="preserve">  Trends in the Temporal Distribution of ASR and the Number of Cases of Endocarditis in the GBD Regions by SDI Quintile, 1990–2021.</w:t>
                      </w:r>
                      <w:r w:rsidRPr="00542107">
                        <w:rPr>
                          <w:rFonts w:ascii="Times New Roman" w:hAnsi="Times New Roman" w:cs="Times New Roman"/>
                          <w:b/>
                          <w:bCs/>
                        </w:rPr>
                        <w:t>Panel A:</w:t>
                      </w:r>
                      <w:r w:rsidRPr="008040D5">
                        <w:rPr>
                          <w:rFonts w:ascii="Times New Roman" w:hAnsi="Times New Roman" w:cs="Times New Roman"/>
                        </w:rPr>
                        <w:t xml:space="preserve"> Shows the age-standardized rates (ASR) of endocarditis from 1990 to 2021, stratified by SDI (Socio-Demographic Index) quintiles, including incidence, prevalence, deaths, and disability-adjusted life years (DALYs).Incidence rate: All SDI groups show an increasing trend, with high-SDI countries consistently having the highest incidence rates. The low-middle SDI group shows the fastest </w:t>
                      </w:r>
                      <w:proofErr w:type="spellStart"/>
                      <w:r w:rsidRPr="008040D5">
                        <w:rPr>
                          <w:rFonts w:ascii="Times New Roman" w:hAnsi="Times New Roman" w:cs="Times New Roman"/>
                        </w:rPr>
                        <w:t>growth.Prevalence</w:t>
                      </w:r>
                      <w:proofErr w:type="spellEnd"/>
                      <w:r w:rsidRPr="008040D5">
                        <w:rPr>
                          <w:rFonts w:ascii="Times New Roman" w:hAnsi="Times New Roman" w:cs="Times New Roman"/>
                        </w:rPr>
                        <w:t xml:space="preserve"> rate: Prevalence rates have risen steadily across all groups, with high-SDI countries demonstrating significantly higher rates than other groups, reflecting the accumulation of chronic </w:t>
                      </w:r>
                      <w:proofErr w:type="spellStart"/>
                      <w:r w:rsidRPr="008040D5">
                        <w:rPr>
                          <w:rFonts w:ascii="Times New Roman" w:hAnsi="Times New Roman" w:cs="Times New Roman"/>
                        </w:rPr>
                        <w:t>cases.Death</w:t>
                      </w:r>
                      <w:proofErr w:type="spellEnd"/>
                      <w:r w:rsidRPr="008040D5">
                        <w:rPr>
                          <w:rFonts w:ascii="Times New Roman" w:hAnsi="Times New Roman" w:cs="Times New Roman"/>
                        </w:rPr>
                        <w:t xml:space="preserve"> rate: Death rates in high and high-middle SDI groups have gradually declined after 2000, while low-SDI countries show minimal changes with a slight downward </w:t>
                      </w:r>
                      <w:proofErr w:type="spellStart"/>
                      <w:r w:rsidRPr="008040D5">
                        <w:rPr>
                          <w:rFonts w:ascii="Times New Roman" w:hAnsi="Times New Roman" w:cs="Times New Roman"/>
                        </w:rPr>
                        <w:t>trend.DALYs</w:t>
                      </w:r>
                      <w:proofErr w:type="spellEnd"/>
                      <w:r w:rsidRPr="008040D5">
                        <w:rPr>
                          <w:rFonts w:ascii="Times New Roman" w:hAnsi="Times New Roman" w:cs="Times New Roman"/>
                        </w:rPr>
                        <w:t xml:space="preserve">: The DALY burden in low-SDI countries shows a significant disparity compared to other </w:t>
                      </w:r>
                      <w:proofErr w:type="spellStart"/>
                      <w:r w:rsidRPr="008040D5">
                        <w:rPr>
                          <w:rFonts w:ascii="Times New Roman" w:hAnsi="Times New Roman" w:cs="Times New Roman"/>
                        </w:rPr>
                        <w:t>regions.</w:t>
                      </w:r>
                      <w:r w:rsidRPr="00542107">
                        <w:rPr>
                          <w:rFonts w:ascii="Times New Roman" w:hAnsi="Times New Roman" w:cs="Times New Roman"/>
                          <w:b/>
                          <w:bCs/>
                        </w:rPr>
                        <w:t>Panel</w:t>
                      </w:r>
                      <w:proofErr w:type="spellEnd"/>
                      <w:r w:rsidRPr="00542107">
                        <w:rPr>
                          <w:rFonts w:ascii="Times New Roman" w:hAnsi="Times New Roman" w:cs="Times New Roman"/>
                          <w:b/>
                          <w:bCs/>
                        </w:rPr>
                        <w:t xml:space="preserve"> B:</w:t>
                      </w:r>
                      <w:r w:rsidRPr="008040D5">
                        <w:rPr>
                          <w:rFonts w:ascii="Times New Roman" w:hAnsi="Times New Roman" w:cs="Times New Roman"/>
                        </w:rPr>
                        <w:t xml:space="preserve"> Depicts the total number of cases of endocarditis from 1990 to 2021 in each SDI quintile, including incidence, prevalence, deaths, and </w:t>
                      </w:r>
                      <w:proofErr w:type="spellStart"/>
                      <w:r w:rsidRPr="008040D5">
                        <w:rPr>
                          <w:rFonts w:ascii="Times New Roman" w:hAnsi="Times New Roman" w:cs="Times New Roman"/>
                        </w:rPr>
                        <w:t>DALYs.Incidence</w:t>
                      </w:r>
                      <w:proofErr w:type="spellEnd"/>
                      <w:r w:rsidRPr="008040D5">
                        <w:rPr>
                          <w:rFonts w:ascii="Times New Roman" w:hAnsi="Times New Roman" w:cs="Times New Roman"/>
                        </w:rPr>
                        <w:t xml:space="preserve"> cases: The number of incidence cases has increased significantly across all SDI groups, with high-SDI countries experiencing the fastest </w:t>
                      </w:r>
                      <w:proofErr w:type="spellStart"/>
                      <w:r w:rsidRPr="008040D5">
                        <w:rPr>
                          <w:rFonts w:ascii="Times New Roman" w:hAnsi="Times New Roman" w:cs="Times New Roman"/>
                        </w:rPr>
                        <w:t>growth.Prevalence</w:t>
                      </w:r>
                      <w:proofErr w:type="spellEnd"/>
                      <w:r w:rsidRPr="008040D5">
                        <w:rPr>
                          <w:rFonts w:ascii="Times New Roman" w:hAnsi="Times New Roman" w:cs="Times New Roman"/>
                        </w:rPr>
                        <w:t xml:space="preserve"> cases: Prevalence cases are highest and growing fastest in high-SDI </w:t>
                      </w:r>
                      <w:proofErr w:type="spellStart"/>
                      <w:r w:rsidRPr="008040D5">
                        <w:rPr>
                          <w:rFonts w:ascii="Times New Roman" w:hAnsi="Times New Roman" w:cs="Times New Roman"/>
                        </w:rPr>
                        <w:t>countries.Death</w:t>
                      </w:r>
                      <w:proofErr w:type="spellEnd"/>
                      <w:r w:rsidRPr="008040D5">
                        <w:rPr>
                          <w:rFonts w:ascii="Times New Roman" w:hAnsi="Times New Roman" w:cs="Times New Roman"/>
                        </w:rPr>
                        <w:t xml:space="preserve"> cases: High-SDI countries have the highest number of death cases, while low-SDI countries have fewer cases and slower </w:t>
                      </w:r>
                      <w:proofErr w:type="spellStart"/>
                      <w:r w:rsidRPr="008040D5">
                        <w:rPr>
                          <w:rFonts w:ascii="Times New Roman" w:hAnsi="Times New Roman" w:cs="Times New Roman"/>
                        </w:rPr>
                        <w:t>growth.DALYs</w:t>
                      </w:r>
                      <w:proofErr w:type="spellEnd"/>
                      <w:r w:rsidRPr="008040D5">
                        <w:rPr>
                          <w:rFonts w:ascii="Times New Roman" w:hAnsi="Times New Roman" w:cs="Times New Roman"/>
                        </w:rPr>
                        <w:t xml:space="preserve"> cases: The burden of DALYs has increased across all SDI groups.</w:t>
                      </w:r>
                    </w:p>
                  </w:txbxContent>
                </v:textbox>
                <w10:wrap type="topAndBottom"/>
              </v:shape>
            </w:pict>
          </mc:Fallback>
        </mc:AlternateContent>
      </w:r>
      <w:r w:rsidR="00122C09">
        <w:rPr>
          <w:rFonts w:hint="eastAsia"/>
        </w:rPr>
        <w:br w:type="page"/>
      </w:r>
    </w:p>
    <w:p w14:paraId="7C1EF98B" w14:textId="5E28B565" w:rsidR="00122C09" w:rsidRDefault="00542107">
      <w:pPr>
        <w:widowControl/>
        <w:jc w:val="left"/>
      </w:pPr>
      <w:r>
        <w:rPr>
          <w:rFonts w:hint="eastAsia"/>
          <w:noProof/>
        </w:rPr>
        <w:lastRenderedPageBreak/>
        <w:drawing>
          <wp:anchor distT="0" distB="0" distL="114300" distR="114300" simplePos="0" relativeHeight="251670528" behindDoc="0" locked="0" layoutInCell="1" allowOverlap="1" wp14:anchorId="3600EA61" wp14:editId="587A1F87">
            <wp:simplePos x="0" y="0"/>
            <wp:positionH relativeFrom="column">
              <wp:posOffset>3228975</wp:posOffset>
            </wp:positionH>
            <wp:positionV relativeFrom="paragraph">
              <wp:posOffset>11430</wp:posOffset>
            </wp:positionV>
            <wp:extent cx="5795010" cy="7052945"/>
            <wp:effectExtent l="0" t="0" r="0" b="0"/>
            <wp:wrapTopAndBottom/>
            <wp:docPr id="6502576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257698" name="图片 650257698"/>
                    <pic:cNvPicPr/>
                  </pic:nvPicPr>
                  <pic:blipFill>
                    <a:blip r:embed="rId12"/>
                    <a:stretch>
                      <a:fillRect/>
                    </a:stretch>
                  </pic:blipFill>
                  <pic:spPr>
                    <a:xfrm>
                      <a:off x="0" y="0"/>
                      <a:ext cx="5795010" cy="705294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2576" behindDoc="0" locked="0" layoutInCell="1" allowOverlap="1" wp14:anchorId="02C5E7C6" wp14:editId="79DE60D2">
                <wp:simplePos x="0" y="0"/>
                <wp:positionH relativeFrom="column">
                  <wp:posOffset>337820</wp:posOffset>
                </wp:positionH>
                <wp:positionV relativeFrom="paragraph">
                  <wp:posOffset>7211060</wp:posOffset>
                </wp:positionV>
                <wp:extent cx="13068300" cy="635"/>
                <wp:effectExtent l="0" t="0" r="0" b="0"/>
                <wp:wrapTopAndBottom/>
                <wp:docPr id="1229992737" name="文本框 1"/>
                <wp:cNvGraphicFramePr/>
                <a:graphic xmlns:a="http://schemas.openxmlformats.org/drawingml/2006/main">
                  <a:graphicData uri="http://schemas.microsoft.com/office/word/2010/wordprocessingShape">
                    <wps:wsp>
                      <wps:cNvSpPr txBox="1"/>
                      <wps:spPr>
                        <a:xfrm>
                          <a:off x="0" y="0"/>
                          <a:ext cx="13068300" cy="635"/>
                        </a:xfrm>
                        <a:prstGeom prst="rect">
                          <a:avLst/>
                        </a:prstGeom>
                        <a:solidFill>
                          <a:prstClr val="white"/>
                        </a:solidFill>
                        <a:ln>
                          <a:noFill/>
                        </a:ln>
                      </wps:spPr>
                      <wps:txbx>
                        <w:txbxContent>
                          <w:p w14:paraId="222202A3" w14:textId="7A4863A5" w:rsidR="00542107" w:rsidRPr="00542107" w:rsidRDefault="00542107" w:rsidP="00542107">
                            <w:pPr>
                              <w:pStyle w:val="a3"/>
                              <w:rPr>
                                <w:rFonts w:ascii="Times New Roman" w:hAnsi="Times New Roman" w:cs="Times New Roman"/>
                                <w:noProof/>
                                <w:sz w:val="22"/>
                              </w:rPr>
                            </w:pPr>
                            <w:r w:rsidRPr="00542107">
                              <w:rPr>
                                <w:rFonts w:ascii="Times New Roman" w:hAnsi="Times New Roman" w:cs="Times New Roman"/>
                                <w:b/>
                                <w:bCs/>
                              </w:rPr>
                              <w:t xml:space="preserve">Supplement Figure </w:t>
                            </w:r>
                            <w:r w:rsidRPr="00542107">
                              <w:rPr>
                                <w:rFonts w:ascii="Times New Roman" w:hAnsi="Times New Roman" w:cs="Times New Roman"/>
                                <w:b/>
                                <w:bCs/>
                              </w:rPr>
                              <w:fldChar w:fldCharType="begin"/>
                            </w:r>
                            <w:r w:rsidRPr="00542107">
                              <w:rPr>
                                <w:rFonts w:ascii="Times New Roman" w:hAnsi="Times New Roman" w:cs="Times New Roman"/>
                                <w:b/>
                                <w:bCs/>
                              </w:rPr>
                              <w:instrText xml:space="preserve"> SEQ Supplement_Figure \* ARABIC </w:instrText>
                            </w:r>
                            <w:r w:rsidRPr="00542107">
                              <w:rPr>
                                <w:rFonts w:ascii="Times New Roman" w:hAnsi="Times New Roman" w:cs="Times New Roman"/>
                                <w:b/>
                                <w:bCs/>
                              </w:rPr>
                              <w:fldChar w:fldCharType="separate"/>
                            </w:r>
                            <w:r w:rsidR="005D68A2">
                              <w:rPr>
                                <w:rFonts w:ascii="Times New Roman" w:hAnsi="Times New Roman" w:cs="Times New Roman"/>
                                <w:b/>
                                <w:bCs/>
                                <w:noProof/>
                              </w:rPr>
                              <w:t>5</w:t>
                            </w:r>
                            <w:r w:rsidRPr="00542107">
                              <w:rPr>
                                <w:rFonts w:ascii="Times New Roman" w:hAnsi="Times New Roman" w:cs="Times New Roman"/>
                                <w:b/>
                                <w:bCs/>
                              </w:rPr>
                              <w:fldChar w:fldCharType="end"/>
                            </w:r>
                            <w:r w:rsidRPr="00542107">
                              <w:rPr>
                                <w:rFonts w:ascii="Times New Roman" w:hAnsi="Times New Roman" w:cs="Times New Roman"/>
                              </w:rPr>
                              <w:t xml:space="preserve">  The age-standardized rates (ASR) and total number of cases of incidence, prevalence, deaths, and DALYs of endocarditis in the Global Burden of Disease (GBD) regions stratified by SDI (Socio-Demographic Index) quintiles in 2021.</w:t>
                            </w:r>
                            <w:r w:rsidRPr="00542107">
                              <w:rPr>
                                <w:rFonts w:ascii="Times New Roman" w:hAnsi="Times New Roman" w:cs="Times New Roman"/>
                                <w:b/>
                                <w:bCs/>
                              </w:rPr>
                              <w:t>Panel A:</w:t>
                            </w:r>
                            <w:r w:rsidRPr="00542107">
                              <w:rPr>
                                <w:rFonts w:ascii="Times New Roman" w:hAnsi="Times New Roman" w:cs="Times New Roman"/>
                              </w:rPr>
                              <w:t xml:space="preserve"> Displays the age-standardized rates (ASR) for different SDI quintiles, including incidence, prevalence, deaths, and disability-adjusted life years (DALYs).Incidence: The incidence rate is highest in high-SDI regions, followed by other SDI </w:t>
                            </w:r>
                            <w:proofErr w:type="spellStart"/>
                            <w:r w:rsidRPr="00542107">
                              <w:rPr>
                                <w:rFonts w:ascii="Times New Roman" w:hAnsi="Times New Roman" w:cs="Times New Roman"/>
                              </w:rPr>
                              <w:t>groups.Prevalence</w:t>
                            </w:r>
                            <w:proofErr w:type="spellEnd"/>
                            <w:r w:rsidRPr="00542107">
                              <w:rPr>
                                <w:rFonts w:ascii="Times New Roman" w:hAnsi="Times New Roman" w:cs="Times New Roman"/>
                              </w:rPr>
                              <w:t xml:space="preserve">: The prevalence rate is significantly higher in high-SDI regions, reflecting the chronic accumulation of endocarditis </w:t>
                            </w:r>
                            <w:proofErr w:type="spellStart"/>
                            <w:r w:rsidRPr="00542107">
                              <w:rPr>
                                <w:rFonts w:ascii="Times New Roman" w:hAnsi="Times New Roman" w:cs="Times New Roman"/>
                              </w:rPr>
                              <w:t>cases.Deaths</w:t>
                            </w:r>
                            <w:proofErr w:type="spellEnd"/>
                            <w:r w:rsidRPr="00542107">
                              <w:rPr>
                                <w:rFonts w:ascii="Times New Roman" w:hAnsi="Times New Roman" w:cs="Times New Roman"/>
                              </w:rPr>
                              <w:t xml:space="preserve">: Death rates are higher in both low-SDI and high-SDI </w:t>
                            </w:r>
                            <w:proofErr w:type="spellStart"/>
                            <w:r w:rsidRPr="00542107">
                              <w:rPr>
                                <w:rFonts w:ascii="Times New Roman" w:hAnsi="Times New Roman" w:cs="Times New Roman"/>
                              </w:rPr>
                              <w:t>regions.DALYs</w:t>
                            </w:r>
                            <w:proofErr w:type="spellEnd"/>
                            <w:r w:rsidRPr="00542107">
                              <w:rPr>
                                <w:rFonts w:ascii="Times New Roman" w:hAnsi="Times New Roman" w:cs="Times New Roman"/>
                              </w:rPr>
                              <w:t xml:space="preserve">: The DALY burden is most pronounced in low-SDI regions, highlighting the vulnerability of resource-limited areas to the disease </w:t>
                            </w:r>
                            <w:proofErr w:type="spellStart"/>
                            <w:r w:rsidRPr="00542107">
                              <w:rPr>
                                <w:rFonts w:ascii="Times New Roman" w:hAnsi="Times New Roman" w:cs="Times New Roman"/>
                              </w:rPr>
                              <w:t>burden.</w:t>
                            </w:r>
                            <w:r w:rsidRPr="00542107">
                              <w:rPr>
                                <w:rFonts w:ascii="Times New Roman" w:hAnsi="Times New Roman" w:cs="Times New Roman"/>
                                <w:b/>
                                <w:bCs/>
                              </w:rPr>
                              <w:t>Panel</w:t>
                            </w:r>
                            <w:proofErr w:type="spellEnd"/>
                            <w:r w:rsidRPr="00542107">
                              <w:rPr>
                                <w:rFonts w:ascii="Times New Roman" w:hAnsi="Times New Roman" w:cs="Times New Roman"/>
                                <w:b/>
                                <w:bCs/>
                              </w:rPr>
                              <w:t xml:space="preserve"> B:</w:t>
                            </w:r>
                            <w:r w:rsidRPr="00542107">
                              <w:rPr>
                                <w:rFonts w:ascii="Times New Roman" w:hAnsi="Times New Roman" w:cs="Times New Roman"/>
                              </w:rPr>
                              <w:t xml:space="preserve"> Displays the total number of cases of endocarditis in different SDI quintiles, including incidence, prevalence, deaths, and </w:t>
                            </w:r>
                            <w:proofErr w:type="spellStart"/>
                            <w:r w:rsidRPr="00542107">
                              <w:rPr>
                                <w:rFonts w:ascii="Times New Roman" w:hAnsi="Times New Roman" w:cs="Times New Roman"/>
                              </w:rPr>
                              <w:t>DALYs.Incidence</w:t>
                            </w:r>
                            <w:proofErr w:type="spellEnd"/>
                            <w:r w:rsidRPr="00542107">
                              <w:rPr>
                                <w:rFonts w:ascii="Times New Roman" w:hAnsi="Times New Roman" w:cs="Times New Roman"/>
                              </w:rPr>
                              <w:t xml:space="preserve"> cases: The number of cases is highest in high-SDI and middle-SDI </w:t>
                            </w:r>
                            <w:proofErr w:type="spellStart"/>
                            <w:r w:rsidRPr="00542107">
                              <w:rPr>
                                <w:rFonts w:ascii="Times New Roman" w:hAnsi="Times New Roman" w:cs="Times New Roman"/>
                              </w:rPr>
                              <w:t>groups.Prevalence</w:t>
                            </w:r>
                            <w:proofErr w:type="spellEnd"/>
                            <w:r w:rsidRPr="00542107">
                              <w:rPr>
                                <w:rFonts w:ascii="Times New Roman" w:hAnsi="Times New Roman" w:cs="Times New Roman"/>
                              </w:rPr>
                              <w:t xml:space="preserve"> cases: The prevalence cases are highest in high-SDI </w:t>
                            </w:r>
                            <w:proofErr w:type="spellStart"/>
                            <w:r w:rsidRPr="00542107">
                              <w:rPr>
                                <w:rFonts w:ascii="Times New Roman" w:hAnsi="Times New Roman" w:cs="Times New Roman"/>
                              </w:rPr>
                              <w:t>regions.Death</w:t>
                            </w:r>
                            <w:proofErr w:type="spellEnd"/>
                            <w:r w:rsidRPr="00542107">
                              <w:rPr>
                                <w:rFonts w:ascii="Times New Roman" w:hAnsi="Times New Roman" w:cs="Times New Roman"/>
                              </w:rPr>
                              <w:t xml:space="preserve"> cases: The number of deaths remains relatively high in high-SDI </w:t>
                            </w:r>
                            <w:proofErr w:type="spellStart"/>
                            <w:r w:rsidRPr="00542107">
                              <w:rPr>
                                <w:rFonts w:ascii="Times New Roman" w:hAnsi="Times New Roman" w:cs="Times New Roman"/>
                              </w:rPr>
                              <w:t>regions.DALY</w:t>
                            </w:r>
                            <w:proofErr w:type="spellEnd"/>
                            <w:r w:rsidRPr="00542107">
                              <w:rPr>
                                <w:rFonts w:ascii="Times New Roman" w:hAnsi="Times New Roman" w:cs="Times New Roman"/>
                              </w:rPr>
                              <w:t xml:space="preserve"> cases: High-SDI regions account for a large proportion of DALY cases.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C5E7C6" id="_x0000_s1030" type="#_x0000_t202" style="position:absolute;margin-left:26.6pt;margin-top:567.8pt;width:1029pt;height:.0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" stroked="f">
                <v:textbox style="mso-fit-shape-to-text:t" inset="0,0,0,0">
                  <w:txbxContent>
                    <w:p w14:paraId="222202A3" w14:textId="7A4863A5" w:rsidR="00542107" w:rsidRPr="00542107" w:rsidRDefault="00542107" w:rsidP="00542107">
                      <w:pPr>
                        <w:pStyle w:val="a3"/>
                        <w:rPr>
                          <w:rFonts w:ascii="Times New Roman" w:hAnsi="Times New Roman" w:cs="Times New Roman"/>
                          <w:noProof/>
                          <w:sz w:val="22"/>
                        </w:rPr>
                      </w:pPr>
                      <w:r w:rsidRPr="00542107">
                        <w:rPr>
                          <w:rFonts w:ascii="Times New Roman" w:hAnsi="Times New Roman" w:cs="Times New Roman"/>
                          <w:b/>
                          <w:bCs/>
                        </w:rPr>
                        <w:t xml:space="preserve">Supplement Figure </w:t>
                      </w:r>
                      <w:r w:rsidRPr="00542107">
                        <w:rPr>
                          <w:rFonts w:ascii="Times New Roman" w:hAnsi="Times New Roman" w:cs="Times New Roman"/>
                          <w:b/>
                          <w:bCs/>
                        </w:rPr>
                        <w:fldChar w:fldCharType="begin"/>
                      </w:r>
                      <w:r w:rsidRPr="00542107">
                        <w:rPr>
                          <w:rFonts w:ascii="Times New Roman" w:hAnsi="Times New Roman" w:cs="Times New Roman"/>
                          <w:b/>
                          <w:bCs/>
                        </w:rPr>
                        <w:instrText xml:space="preserve"> SEQ Supplement_Figure \* ARABIC </w:instrText>
                      </w:r>
                      <w:r w:rsidRPr="00542107">
                        <w:rPr>
                          <w:rFonts w:ascii="Times New Roman" w:hAnsi="Times New Roman" w:cs="Times New Roman"/>
                          <w:b/>
                          <w:bCs/>
                        </w:rPr>
                        <w:fldChar w:fldCharType="separate"/>
                      </w:r>
                      <w:r w:rsidR="005D68A2">
                        <w:rPr>
                          <w:rFonts w:ascii="Times New Roman" w:hAnsi="Times New Roman" w:cs="Times New Roman"/>
                          <w:b/>
                          <w:bCs/>
                          <w:noProof/>
                        </w:rPr>
                        <w:t>5</w:t>
                      </w:r>
                      <w:r w:rsidRPr="00542107">
                        <w:rPr>
                          <w:rFonts w:ascii="Times New Roman" w:hAnsi="Times New Roman" w:cs="Times New Roman"/>
                          <w:b/>
                          <w:bCs/>
                        </w:rPr>
                        <w:fldChar w:fldCharType="end"/>
                      </w:r>
                      <w:r w:rsidRPr="00542107">
                        <w:rPr>
                          <w:rFonts w:ascii="Times New Roman" w:hAnsi="Times New Roman" w:cs="Times New Roman"/>
                        </w:rPr>
                        <w:t xml:space="preserve">  The age-standardized rates (ASR) and total number of cases of incidence, prevalence, deaths, and DALYs of endocarditis in the Global Burden of Disease (GBD) regions stratified by SDI (Socio-Demographic Index) quintiles in 2021.</w:t>
                      </w:r>
                      <w:r w:rsidRPr="00542107">
                        <w:rPr>
                          <w:rFonts w:ascii="Times New Roman" w:hAnsi="Times New Roman" w:cs="Times New Roman"/>
                          <w:b/>
                          <w:bCs/>
                        </w:rPr>
                        <w:t>Panel A:</w:t>
                      </w:r>
                      <w:r w:rsidRPr="00542107">
                        <w:rPr>
                          <w:rFonts w:ascii="Times New Roman" w:hAnsi="Times New Roman" w:cs="Times New Roman"/>
                        </w:rPr>
                        <w:t xml:space="preserve"> Displays the age-standardized rates (ASR) for different SDI quintiles, including incidence, prevalence, deaths, and disability-adjusted life years (DALYs).Incidence: The incidence rate is highest in high-SDI regions, followed by other SDI </w:t>
                      </w:r>
                      <w:proofErr w:type="spellStart"/>
                      <w:r w:rsidRPr="00542107">
                        <w:rPr>
                          <w:rFonts w:ascii="Times New Roman" w:hAnsi="Times New Roman" w:cs="Times New Roman"/>
                        </w:rPr>
                        <w:t>groups.Prevalence</w:t>
                      </w:r>
                      <w:proofErr w:type="spellEnd"/>
                      <w:r w:rsidRPr="00542107">
                        <w:rPr>
                          <w:rFonts w:ascii="Times New Roman" w:hAnsi="Times New Roman" w:cs="Times New Roman"/>
                        </w:rPr>
                        <w:t xml:space="preserve">: The prevalence rate is significantly higher in high-SDI regions, reflecting the chronic accumulation of endocarditis </w:t>
                      </w:r>
                      <w:proofErr w:type="spellStart"/>
                      <w:r w:rsidRPr="00542107">
                        <w:rPr>
                          <w:rFonts w:ascii="Times New Roman" w:hAnsi="Times New Roman" w:cs="Times New Roman"/>
                        </w:rPr>
                        <w:t>cases.Deaths</w:t>
                      </w:r>
                      <w:proofErr w:type="spellEnd"/>
                      <w:r w:rsidRPr="00542107">
                        <w:rPr>
                          <w:rFonts w:ascii="Times New Roman" w:hAnsi="Times New Roman" w:cs="Times New Roman"/>
                        </w:rPr>
                        <w:t xml:space="preserve">: Death rates are higher in both low-SDI and high-SDI </w:t>
                      </w:r>
                      <w:proofErr w:type="spellStart"/>
                      <w:r w:rsidRPr="00542107">
                        <w:rPr>
                          <w:rFonts w:ascii="Times New Roman" w:hAnsi="Times New Roman" w:cs="Times New Roman"/>
                        </w:rPr>
                        <w:t>regions.DALYs</w:t>
                      </w:r>
                      <w:proofErr w:type="spellEnd"/>
                      <w:r w:rsidRPr="00542107">
                        <w:rPr>
                          <w:rFonts w:ascii="Times New Roman" w:hAnsi="Times New Roman" w:cs="Times New Roman"/>
                        </w:rPr>
                        <w:t xml:space="preserve">: The DALY burden is most pronounced in low-SDI regions, highlighting the vulnerability of resource-limited areas to the disease </w:t>
                      </w:r>
                      <w:proofErr w:type="spellStart"/>
                      <w:r w:rsidRPr="00542107">
                        <w:rPr>
                          <w:rFonts w:ascii="Times New Roman" w:hAnsi="Times New Roman" w:cs="Times New Roman"/>
                        </w:rPr>
                        <w:t>burden.</w:t>
                      </w:r>
                      <w:r w:rsidRPr="00542107">
                        <w:rPr>
                          <w:rFonts w:ascii="Times New Roman" w:hAnsi="Times New Roman" w:cs="Times New Roman"/>
                          <w:b/>
                          <w:bCs/>
                        </w:rPr>
                        <w:t>Panel</w:t>
                      </w:r>
                      <w:proofErr w:type="spellEnd"/>
                      <w:r w:rsidRPr="00542107">
                        <w:rPr>
                          <w:rFonts w:ascii="Times New Roman" w:hAnsi="Times New Roman" w:cs="Times New Roman"/>
                          <w:b/>
                          <w:bCs/>
                        </w:rPr>
                        <w:t xml:space="preserve"> B:</w:t>
                      </w:r>
                      <w:r w:rsidRPr="00542107">
                        <w:rPr>
                          <w:rFonts w:ascii="Times New Roman" w:hAnsi="Times New Roman" w:cs="Times New Roman"/>
                        </w:rPr>
                        <w:t xml:space="preserve"> Displays the total number of cases of endocarditis in different SDI quintiles, including incidence, prevalence, deaths, and </w:t>
                      </w:r>
                      <w:proofErr w:type="spellStart"/>
                      <w:r w:rsidRPr="00542107">
                        <w:rPr>
                          <w:rFonts w:ascii="Times New Roman" w:hAnsi="Times New Roman" w:cs="Times New Roman"/>
                        </w:rPr>
                        <w:t>DALYs.Incidence</w:t>
                      </w:r>
                      <w:proofErr w:type="spellEnd"/>
                      <w:r w:rsidRPr="00542107">
                        <w:rPr>
                          <w:rFonts w:ascii="Times New Roman" w:hAnsi="Times New Roman" w:cs="Times New Roman"/>
                        </w:rPr>
                        <w:t xml:space="preserve"> cases: The number of cases is highest in high-SDI and middle-SDI </w:t>
                      </w:r>
                      <w:proofErr w:type="spellStart"/>
                      <w:r w:rsidRPr="00542107">
                        <w:rPr>
                          <w:rFonts w:ascii="Times New Roman" w:hAnsi="Times New Roman" w:cs="Times New Roman"/>
                        </w:rPr>
                        <w:t>groups.Prevalence</w:t>
                      </w:r>
                      <w:proofErr w:type="spellEnd"/>
                      <w:r w:rsidRPr="00542107">
                        <w:rPr>
                          <w:rFonts w:ascii="Times New Roman" w:hAnsi="Times New Roman" w:cs="Times New Roman"/>
                        </w:rPr>
                        <w:t xml:space="preserve"> cases: The prevalence cases are highest in high-SDI </w:t>
                      </w:r>
                      <w:proofErr w:type="spellStart"/>
                      <w:r w:rsidRPr="00542107">
                        <w:rPr>
                          <w:rFonts w:ascii="Times New Roman" w:hAnsi="Times New Roman" w:cs="Times New Roman"/>
                        </w:rPr>
                        <w:t>regions.Death</w:t>
                      </w:r>
                      <w:proofErr w:type="spellEnd"/>
                      <w:r w:rsidRPr="00542107">
                        <w:rPr>
                          <w:rFonts w:ascii="Times New Roman" w:hAnsi="Times New Roman" w:cs="Times New Roman"/>
                        </w:rPr>
                        <w:t xml:space="preserve"> cases: The number of deaths remains relatively high in high-SDI </w:t>
                      </w:r>
                      <w:proofErr w:type="spellStart"/>
                      <w:r w:rsidRPr="00542107">
                        <w:rPr>
                          <w:rFonts w:ascii="Times New Roman" w:hAnsi="Times New Roman" w:cs="Times New Roman"/>
                        </w:rPr>
                        <w:t>regions.DALY</w:t>
                      </w:r>
                      <w:proofErr w:type="spellEnd"/>
                      <w:r w:rsidRPr="00542107">
                        <w:rPr>
                          <w:rFonts w:ascii="Times New Roman" w:hAnsi="Times New Roman" w:cs="Times New Roman"/>
                        </w:rPr>
                        <w:t xml:space="preserve"> cases: High-SDI regions account for a large proportion of DALY cases.</w:t>
                      </w:r>
                    </w:p>
                  </w:txbxContent>
                </v:textbox>
                <w10:wrap type="topAndBottom"/>
              </v:shape>
            </w:pict>
          </mc:Fallback>
        </mc:AlternateContent>
      </w:r>
      <w:r w:rsidR="00122C09">
        <w:rPr>
          <w:rFonts w:hint="eastAsia"/>
        </w:rPr>
        <w:br w:type="page"/>
      </w:r>
    </w:p>
    <w:p w14:paraId="11B79051" w14:textId="53F24169" w:rsidR="00122C09" w:rsidRDefault="00A7148F">
      <w:pPr>
        <w:widowControl/>
        <w:jc w:val="left"/>
      </w:pPr>
      <w:r>
        <w:rPr>
          <w:rFonts w:hint="eastAsia"/>
          <w:noProof/>
        </w:rPr>
        <w:lastRenderedPageBreak/>
        <w:drawing>
          <wp:anchor distT="0" distB="0" distL="114300" distR="114300" simplePos="0" relativeHeight="251673600" behindDoc="0" locked="0" layoutInCell="1" allowOverlap="1" wp14:anchorId="364A946E" wp14:editId="08DFBAD4">
            <wp:simplePos x="0" y="0"/>
            <wp:positionH relativeFrom="margin">
              <wp:posOffset>4446270</wp:posOffset>
            </wp:positionH>
            <wp:positionV relativeFrom="paragraph">
              <wp:posOffset>0</wp:posOffset>
            </wp:positionV>
            <wp:extent cx="4072255" cy="7185025"/>
            <wp:effectExtent l="0" t="0" r="4445" b="0"/>
            <wp:wrapTopAndBottom/>
            <wp:docPr id="13656378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37814" name="图片 1365637814"/>
                    <pic:cNvPicPr/>
                  </pic:nvPicPr>
                  <pic:blipFill>
                    <a:blip r:embed="rId13"/>
                    <a:stretch>
                      <a:fillRect/>
                    </a:stretch>
                  </pic:blipFill>
                  <pic:spPr>
                    <a:xfrm>
                      <a:off x="0" y="0"/>
                      <a:ext cx="4072255" cy="718502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5648" behindDoc="0" locked="0" layoutInCell="1" allowOverlap="1" wp14:anchorId="3672F15E" wp14:editId="4BE35055">
                <wp:simplePos x="0" y="0"/>
                <wp:positionH relativeFrom="margin">
                  <wp:posOffset>-338447</wp:posOffset>
                </wp:positionH>
                <wp:positionV relativeFrom="paragraph">
                  <wp:posOffset>7207159</wp:posOffset>
                </wp:positionV>
                <wp:extent cx="14000480" cy="635"/>
                <wp:effectExtent l="0" t="0" r="1270" b="7620"/>
                <wp:wrapTopAndBottom/>
                <wp:docPr id="1429541941" name="文本框 1"/>
                <wp:cNvGraphicFramePr/>
                <a:graphic xmlns:a="http://schemas.openxmlformats.org/drawingml/2006/main">
                  <a:graphicData uri="http://schemas.microsoft.com/office/word/2010/wordprocessingShape">
                    <wps:wsp>
                      <wps:cNvSpPr txBox="1"/>
                      <wps:spPr>
                        <a:xfrm>
                          <a:off x="0" y="0"/>
                          <a:ext cx="14000480" cy="635"/>
                        </a:xfrm>
                        <a:prstGeom prst="rect">
                          <a:avLst/>
                        </a:prstGeom>
                        <a:solidFill>
                          <a:prstClr val="white"/>
                        </a:solidFill>
                        <a:ln>
                          <a:noFill/>
                        </a:ln>
                      </wps:spPr>
                      <wps:txbx>
                        <w:txbxContent>
                          <w:p w14:paraId="2758CDC8" w14:textId="0113BF2A" w:rsidR="00A7148F" w:rsidRPr="00A7148F" w:rsidRDefault="00A7148F" w:rsidP="00A7148F">
                            <w:pPr>
                              <w:pStyle w:val="a3"/>
                              <w:rPr>
                                <w:rFonts w:ascii="Times New Roman" w:hAnsi="Times New Roman" w:cs="Times New Roman"/>
                                <w:noProof/>
                                <w:sz w:val="22"/>
                              </w:rPr>
                            </w:pPr>
                            <w:r w:rsidRPr="00A7148F">
                              <w:rPr>
                                <w:rFonts w:ascii="Times New Roman" w:hAnsi="Times New Roman" w:cs="Times New Roman"/>
                                <w:b/>
                                <w:bCs/>
                              </w:rPr>
                              <w:t xml:space="preserve">Supplement Figure </w:t>
                            </w:r>
                            <w:r w:rsidRPr="00A7148F">
                              <w:rPr>
                                <w:rFonts w:ascii="Times New Roman" w:hAnsi="Times New Roman" w:cs="Times New Roman"/>
                                <w:b/>
                                <w:bCs/>
                              </w:rPr>
                              <w:fldChar w:fldCharType="begin"/>
                            </w:r>
                            <w:r w:rsidRPr="00A7148F">
                              <w:rPr>
                                <w:rFonts w:ascii="Times New Roman" w:hAnsi="Times New Roman" w:cs="Times New Roman"/>
                                <w:b/>
                                <w:bCs/>
                              </w:rPr>
                              <w:instrText xml:space="preserve"> SEQ Supplement_Figure \* ARABIC </w:instrText>
                            </w:r>
                            <w:r w:rsidRPr="00A7148F">
                              <w:rPr>
                                <w:rFonts w:ascii="Times New Roman" w:hAnsi="Times New Roman" w:cs="Times New Roman"/>
                                <w:b/>
                                <w:bCs/>
                              </w:rPr>
                              <w:fldChar w:fldCharType="separate"/>
                            </w:r>
                            <w:r w:rsidR="005D68A2">
                              <w:rPr>
                                <w:rFonts w:ascii="Times New Roman" w:hAnsi="Times New Roman" w:cs="Times New Roman"/>
                                <w:b/>
                                <w:bCs/>
                                <w:noProof/>
                              </w:rPr>
                              <w:t>6</w:t>
                            </w:r>
                            <w:r w:rsidRPr="00A7148F">
                              <w:rPr>
                                <w:rFonts w:ascii="Times New Roman" w:hAnsi="Times New Roman" w:cs="Times New Roman"/>
                                <w:b/>
                                <w:bCs/>
                              </w:rPr>
                              <w:fldChar w:fldCharType="end"/>
                            </w:r>
                            <w:r w:rsidRPr="00A7148F">
                              <w:rPr>
                                <w:rFonts w:ascii="Times New Roman" w:hAnsi="Times New Roman" w:cs="Times New Roman"/>
                              </w:rPr>
                              <w:t xml:space="preserve">  Age-standardized rates (ASR, Panel A) and total number of cases (Panel B) of incidence, prevalence, deaths, and disability-adjusted life years (DALYs) of endocarditis by age group in 2021.</w:t>
                            </w:r>
                            <w:r w:rsidRPr="00A7148F">
                              <w:rPr>
                                <w:rFonts w:ascii="Times New Roman" w:hAnsi="Times New Roman" w:cs="Times New Roman"/>
                                <w:b/>
                                <w:bCs/>
                              </w:rPr>
                              <w:t xml:space="preserve">Panel A: </w:t>
                            </w:r>
                            <w:r w:rsidRPr="00A7148F">
                              <w:rPr>
                                <w:rFonts w:ascii="Times New Roman" w:hAnsi="Times New Roman" w:cs="Times New Roman"/>
                              </w:rPr>
                              <w:t xml:space="preserve">Displays the age-standardized rates (ASR) for different age groups, including incidence, prevalence, deaths, and </w:t>
                            </w:r>
                            <w:proofErr w:type="spellStart"/>
                            <w:r w:rsidRPr="00A7148F">
                              <w:rPr>
                                <w:rFonts w:ascii="Times New Roman" w:hAnsi="Times New Roman" w:cs="Times New Roman"/>
                              </w:rPr>
                              <w:t>DALYs.Incidence</w:t>
                            </w:r>
                            <w:proofErr w:type="spellEnd"/>
                            <w:r w:rsidRPr="00A7148F">
                              <w:rPr>
                                <w:rFonts w:ascii="Times New Roman" w:hAnsi="Times New Roman" w:cs="Times New Roman"/>
                              </w:rPr>
                              <w:t xml:space="preserve">: The incidence rate increases significantly with age, with the highest rate observed in individuals aged 95 years and </w:t>
                            </w:r>
                            <w:proofErr w:type="spellStart"/>
                            <w:r w:rsidRPr="00A7148F">
                              <w:rPr>
                                <w:rFonts w:ascii="Times New Roman" w:hAnsi="Times New Roman" w:cs="Times New Roman"/>
                              </w:rPr>
                              <w:t>older.Prevalence</w:t>
                            </w:r>
                            <w:proofErr w:type="spellEnd"/>
                            <w:r w:rsidRPr="00A7148F">
                              <w:rPr>
                                <w:rFonts w:ascii="Times New Roman" w:hAnsi="Times New Roman" w:cs="Times New Roman"/>
                              </w:rPr>
                              <w:t xml:space="preserve">: Prevalence rates rise sharply in older age groups, reflecting the accumulation of chronic </w:t>
                            </w:r>
                            <w:proofErr w:type="spellStart"/>
                            <w:r w:rsidRPr="00A7148F">
                              <w:rPr>
                                <w:rFonts w:ascii="Times New Roman" w:hAnsi="Times New Roman" w:cs="Times New Roman"/>
                              </w:rPr>
                              <w:t>cases.Deaths</w:t>
                            </w:r>
                            <w:proofErr w:type="spellEnd"/>
                            <w:r w:rsidRPr="00A7148F">
                              <w:rPr>
                                <w:rFonts w:ascii="Times New Roman" w:hAnsi="Times New Roman" w:cs="Times New Roman"/>
                              </w:rPr>
                              <w:t xml:space="preserve">: Death rates increase with age, with a significant rise in individuals aged 85 years and </w:t>
                            </w:r>
                            <w:proofErr w:type="spellStart"/>
                            <w:r w:rsidRPr="00A7148F">
                              <w:rPr>
                                <w:rFonts w:ascii="Times New Roman" w:hAnsi="Times New Roman" w:cs="Times New Roman"/>
                              </w:rPr>
                              <w:t>older.DALYs</w:t>
                            </w:r>
                            <w:proofErr w:type="spellEnd"/>
                            <w:r w:rsidRPr="00A7148F">
                              <w:rPr>
                                <w:rFonts w:ascii="Times New Roman" w:hAnsi="Times New Roman" w:cs="Times New Roman"/>
                              </w:rPr>
                              <w:t xml:space="preserve">: The burden of DALYs is primarily concentrated in people aged 65 years and older, highlighting the substantial impact of the disease on healthy life expectancy in the </w:t>
                            </w:r>
                            <w:proofErr w:type="spellStart"/>
                            <w:r w:rsidRPr="00A7148F">
                              <w:rPr>
                                <w:rFonts w:ascii="Times New Roman" w:hAnsi="Times New Roman" w:cs="Times New Roman"/>
                              </w:rPr>
                              <w:t>elderly.</w:t>
                            </w:r>
                            <w:r w:rsidRPr="00A7148F">
                              <w:rPr>
                                <w:rFonts w:ascii="Times New Roman" w:hAnsi="Times New Roman" w:cs="Times New Roman"/>
                                <w:b/>
                                <w:bCs/>
                              </w:rPr>
                              <w:t>Panel</w:t>
                            </w:r>
                            <w:proofErr w:type="spellEnd"/>
                            <w:r w:rsidRPr="00A7148F">
                              <w:rPr>
                                <w:rFonts w:ascii="Times New Roman" w:hAnsi="Times New Roman" w:cs="Times New Roman"/>
                                <w:b/>
                                <w:bCs/>
                              </w:rPr>
                              <w:t xml:space="preserve"> B: </w:t>
                            </w:r>
                            <w:r w:rsidRPr="00A7148F">
                              <w:rPr>
                                <w:rFonts w:ascii="Times New Roman" w:hAnsi="Times New Roman" w:cs="Times New Roman"/>
                              </w:rPr>
                              <w:t xml:space="preserve">Displays the total number of cases of endocarditis by age group, including incidence, prevalence, deaths, and </w:t>
                            </w:r>
                            <w:proofErr w:type="spellStart"/>
                            <w:r w:rsidRPr="00A7148F">
                              <w:rPr>
                                <w:rFonts w:ascii="Times New Roman" w:hAnsi="Times New Roman" w:cs="Times New Roman"/>
                              </w:rPr>
                              <w:t>DALYs.Incidence</w:t>
                            </w:r>
                            <w:proofErr w:type="spellEnd"/>
                            <w:r w:rsidRPr="00A7148F">
                              <w:rPr>
                                <w:rFonts w:ascii="Times New Roman" w:hAnsi="Times New Roman" w:cs="Times New Roman"/>
                              </w:rPr>
                              <w:t xml:space="preserve"> cases: The number of incidence cases peaks among individuals aged 65-74 </w:t>
                            </w:r>
                            <w:proofErr w:type="spellStart"/>
                            <w:r w:rsidRPr="00A7148F">
                              <w:rPr>
                                <w:rFonts w:ascii="Times New Roman" w:hAnsi="Times New Roman" w:cs="Times New Roman"/>
                              </w:rPr>
                              <w:t>years.Prevalence</w:t>
                            </w:r>
                            <w:proofErr w:type="spellEnd"/>
                            <w:r w:rsidRPr="00A7148F">
                              <w:rPr>
                                <w:rFonts w:ascii="Times New Roman" w:hAnsi="Times New Roman" w:cs="Times New Roman"/>
                              </w:rPr>
                              <w:t xml:space="preserve"> cases: Prevalence cases are notably higher among individuals aged 15-29 years and those aged 65 years and </w:t>
                            </w:r>
                            <w:proofErr w:type="spellStart"/>
                            <w:r w:rsidRPr="00A7148F">
                              <w:rPr>
                                <w:rFonts w:ascii="Times New Roman" w:hAnsi="Times New Roman" w:cs="Times New Roman"/>
                              </w:rPr>
                              <w:t>older.Death</w:t>
                            </w:r>
                            <w:proofErr w:type="spellEnd"/>
                            <w:r w:rsidRPr="00A7148F">
                              <w:rPr>
                                <w:rFonts w:ascii="Times New Roman" w:hAnsi="Times New Roman" w:cs="Times New Roman"/>
                              </w:rPr>
                              <w:t xml:space="preserve"> cases: Death cases are predominantly concentrated in older age </w:t>
                            </w:r>
                            <w:proofErr w:type="spellStart"/>
                            <w:r w:rsidRPr="00A7148F">
                              <w:rPr>
                                <w:rFonts w:ascii="Times New Roman" w:hAnsi="Times New Roman" w:cs="Times New Roman"/>
                              </w:rPr>
                              <w:t>groups.DALY</w:t>
                            </w:r>
                            <w:proofErr w:type="spellEnd"/>
                            <w:r w:rsidRPr="00A7148F">
                              <w:rPr>
                                <w:rFonts w:ascii="Times New Roman" w:hAnsi="Times New Roman" w:cs="Times New Roman"/>
                              </w:rPr>
                              <w:t xml:space="preserve"> cases: The DALY burden is mainly concentrated in middle-aged and elderly populations, underscoring the vulnerability of these age groups to the disease burden.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672F15E" id="_x0000_s1031" type="#_x0000_t202" style="position:absolute;margin-left:-26.65pt;margin-top:567.5pt;width:1102.4pt;height:.0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" stroked="f">
                <v:textbox style="mso-fit-shape-to-text:t" inset="0,0,0,0">
                  <w:txbxContent>
                    <w:p w14:paraId="2758CDC8" w14:textId="0113BF2A" w:rsidR="00A7148F" w:rsidRPr="00A7148F" w:rsidRDefault="00A7148F" w:rsidP="00A7148F">
                      <w:pPr>
                        <w:pStyle w:val="a3"/>
                        <w:rPr>
                          <w:rFonts w:ascii="Times New Roman" w:hAnsi="Times New Roman" w:cs="Times New Roman"/>
                          <w:noProof/>
                          <w:sz w:val="22"/>
                        </w:rPr>
                      </w:pPr>
                      <w:r w:rsidRPr="00A7148F">
                        <w:rPr>
                          <w:rFonts w:ascii="Times New Roman" w:hAnsi="Times New Roman" w:cs="Times New Roman"/>
                          <w:b/>
                          <w:bCs/>
                        </w:rPr>
                        <w:t xml:space="preserve">Supplement Figure </w:t>
                      </w:r>
                      <w:r w:rsidRPr="00A7148F">
                        <w:rPr>
                          <w:rFonts w:ascii="Times New Roman" w:hAnsi="Times New Roman" w:cs="Times New Roman"/>
                          <w:b/>
                          <w:bCs/>
                        </w:rPr>
                        <w:fldChar w:fldCharType="begin"/>
                      </w:r>
                      <w:r w:rsidRPr="00A7148F">
                        <w:rPr>
                          <w:rFonts w:ascii="Times New Roman" w:hAnsi="Times New Roman" w:cs="Times New Roman"/>
                          <w:b/>
                          <w:bCs/>
                        </w:rPr>
                        <w:instrText xml:space="preserve"> SEQ Supplement_Figure \* ARABIC </w:instrText>
                      </w:r>
                      <w:r w:rsidRPr="00A7148F">
                        <w:rPr>
                          <w:rFonts w:ascii="Times New Roman" w:hAnsi="Times New Roman" w:cs="Times New Roman"/>
                          <w:b/>
                          <w:bCs/>
                        </w:rPr>
                        <w:fldChar w:fldCharType="separate"/>
                      </w:r>
                      <w:r w:rsidR="005D68A2">
                        <w:rPr>
                          <w:rFonts w:ascii="Times New Roman" w:hAnsi="Times New Roman" w:cs="Times New Roman"/>
                          <w:b/>
                          <w:bCs/>
                          <w:noProof/>
                        </w:rPr>
                        <w:t>6</w:t>
                      </w:r>
                      <w:r w:rsidRPr="00A7148F">
                        <w:rPr>
                          <w:rFonts w:ascii="Times New Roman" w:hAnsi="Times New Roman" w:cs="Times New Roman"/>
                          <w:b/>
                          <w:bCs/>
                        </w:rPr>
                        <w:fldChar w:fldCharType="end"/>
                      </w:r>
                      <w:r w:rsidRPr="00A7148F">
                        <w:rPr>
                          <w:rFonts w:ascii="Times New Roman" w:hAnsi="Times New Roman" w:cs="Times New Roman"/>
                        </w:rPr>
                        <w:t xml:space="preserve">  Age-standardized rates (ASR, Panel A) and total number of cases (Panel B) of incidence, prevalence, deaths, and disability-adjusted life years (DALYs) of endocarditis by age group in 2021.</w:t>
                      </w:r>
                      <w:r w:rsidRPr="00A7148F">
                        <w:rPr>
                          <w:rFonts w:ascii="Times New Roman" w:hAnsi="Times New Roman" w:cs="Times New Roman"/>
                          <w:b/>
                          <w:bCs/>
                        </w:rPr>
                        <w:t xml:space="preserve">Panel A: </w:t>
                      </w:r>
                      <w:r w:rsidRPr="00A7148F">
                        <w:rPr>
                          <w:rFonts w:ascii="Times New Roman" w:hAnsi="Times New Roman" w:cs="Times New Roman"/>
                        </w:rPr>
                        <w:t xml:space="preserve">Displays the age-standardized rates (ASR) for different age groups, including incidence, prevalence, deaths, and </w:t>
                      </w:r>
                      <w:proofErr w:type="spellStart"/>
                      <w:r w:rsidRPr="00A7148F">
                        <w:rPr>
                          <w:rFonts w:ascii="Times New Roman" w:hAnsi="Times New Roman" w:cs="Times New Roman"/>
                        </w:rPr>
                        <w:t>DALYs.Incidence</w:t>
                      </w:r>
                      <w:proofErr w:type="spellEnd"/>
                      <w:r w:rsidRPr="00A7148F">
                        <w:rPr>
                          <w:rFonts w:ascii="Times New Roman" w:hAnsi="Times New Roman" w:cs="Times New Roman"/>
                        </w:rPr>
                        <w:t xml:space="preserve">: The incidence rate increases significantly with age, with the highest rate observed in individuals aged 95 years and </w:t>
                      </w:r>
                      <w:proofErr w:type="spellStart"/>
                      <w:r w:rsidRPr="00A7148F">
                        <w:rPr>
                          <w:rFonts w:ascii="Times New Roman" w:hAnsi="Times New Roman" w:cs="Times New Roman"/>
                        </w:rPr>
                        <w:t>older.Prevalence</w:t>
                      </w:r>
                      <w:proofErr w:type="spellEnd"/>
                      <w:r w:rsidRPr="00A7148F">
                        <w:rPr>
                          <w:rFonts w:ascii="Times New Roman" w:hAnsi="Times New Roman" w:cs="Times New Roman"/>
                        </w:rPr>
                        <w:t xml:space="preserve">: Prevalence rates rise sharply in older age groups, reflecting the accumulation of chronic </w:t>
                      </w:r>
                      <w:proofErr w:type="spellStart"/>
                      <w:r w:rsidRPr="00A7148F">
                        <w:rPr>
                          <w:rFonts w:ascii="Times New Roman" w:hAnsi="Times New Roman" w:cs="Times New Roman"/>
                        </w:rPr>
                        <w:t>cases.Deaths</w:t>
                      </w:r>
                      <w:proofErr w:type="spellEnd"/>
                      <w:r w:rsidRPr="00A7148F">
                        <w:rPr>
                          <w:rFonts w:ascii="Times New Roman" w:hAnsi="Times New Roman" w:cs="Times New Roman"/>
                        </w:rPr>
                        <w:t xml:space="preserve">: Death rates increase with age, with a significant rise in individuals aged 85 years and </w:t>
                      </w:r>
                      <w:proofErr w:type="spellStart"/>
                      <w:r w:rsidRPr="00A7148F">
                        <w:rPr>
                          <w:rFonts w:ascii="Times New Roman" w:hAnsi="Times New Roman" w:cs="Times New Roman"/>
                        </w:rPr>
                        <w:t>older.DALYs</w:t>
                      </w:r>
                      <w:proofErr w:type="spellEnd"/>
                      <w:r w:rsidRPr="00A7148F">
                        <w:rPr>
                          <w:rFonts w:ascii="Times New Roman" w:hAnsi="Times New Roman" w:cs="Times New Roman"/>
                        </w:rPr>
                        <w:t xml:space="preserve">: The burden of DALYs is primarily concentrated in people aged 65 years and older, highlighting the substantial impact of the disease on healthy life expectancy in the </w:t>
                      </w:r>
                      <w:proofErr w:type="spellStart"/>
                      <w:r w:rsidRPr="00A7148F">
                        <w:rPr>
                          <w:rFonts w:ascii="Times New Roman" w:hAnsi="Times New Roman" w:cs="Times New Roman"/>
                        </w:rPr>
                        <w:t>elderly.</w:t>
                      </w:r>
                      <w:r w:rsidRPr="00A7148F">
                        <w:rPr>
                          <w:rFonts w:ascii="Times New Roman" w:hAnsi="Times New Roman" w:cs="Times New Roman"/>
                          <w:b/>
                          <w:bCs/>
                        </w:rPr>
                        <w:t>Panel</w:t>
                      </w:r>
                      <w:proofErr w:type="spellEnd"/>
                      <w:r w:rsidRPr="00A7148F">
                        <w:rPr>
                          <w:rFonts w:ascii="Times New Roman" w:hAnsi="Times New Roman" w:cs="Times New Roman"/>
                          <w:b/>
                          <w:bCs/>
                        </w:rPr>
                        <w:t xml:space="preserve"> B: </w:t>
                      </w:r>
                      <w:r w:rsidRPr="00A7148F">
                        <w:rPr>
                          <w:rFonts w:ascii="Times New Roman" w:hAnsi="Times New Roman" w:cs="Times New Roman"/>
                        </w:rPr>
                        <w:t xml:space="preserve">Displays the total number of cases of endocarditis by age group, including incidence, prevalence, deaths, and </w:t>
                      </w:r>
                      <w:proofErr w:type="spellStart"/>
                      <w:r w:rsidRPr="00A7148F">
                        <w:rPr>
                          <w:rFonts w:ascii="Times New Roman" w:hAnsi="Times New Roman" w:cs="Times New Roman"/>
                        </w:rPr>
                        <w:t>DALYs.Incidence</w:t>
                      </w:r>
                      <w:proofErr w:type="spellEnd"/>
                      <w:r w:rsidRPr="00A7148F">
                        <w:rPr>
                          <w:rFonts w:ascii="Times New Roman" w:hAnsi="Times New Roman" w:cs="Times New Roman"/>
                        </w:rPr>
                        <w:t xml:space="preserve"> cases: The number of incidence cases peaks among individuals aged 65-74 </w:t>
                      </w:r>
                      <w:proofErr w:type="spellStart"/>
                      <w:r w:rsidRPr="00A7148F">
                        <w:rPr>
                          <w:rFonts w:ascii="Times New Roman" w:hAnsi="Times New Roman" w:cs="Times New Roman"/>
                        </w:rPr>
                        <w:t>years.Prevalence</w:t>
                      </w:r>
                      <w:proofErr w:type="spellEnd"/>
                      <w:r w:rsidRPr="00A7148F">
                        <w:rPr>
                          <w:rFonts w:ascii="Times New Roman" w:hAnsi="Times New Roman" w:cs="Times New Roman"/>
                        </w:rPr>
                        <w:t xml:space="preserve"> cases: Prevalence cases are notably higher among individuals aged 15-29 years and those aged 65 years and </w:t>
                      </w:r>
                      <w:proofErr w:type="spellStart"/>
                      <w:r w:rsidRPr="00A7148F">
                        <w:rPr>
                          <w:rFonts w:ascii="Times New Roman" w:hAnsi="Times New Roman" w:cs="Times New Roman"/>
                        </w:rPr>
                        <w:t>older.Death</w:t>
                      </w:r>
                      <w:proofErr w:type="spellEnd"/>
                      <w:r w:rsidRPr="00A7148F">
                        <w:rPr>
                          <w:rFonts w:ascii="Times New Roman" w:hAnsi="Times New Roman" w:cs="Times New Roman"/>
                        </w:rPr>
                        <w:t xml:space="preserve"> cases: Death cases are predominantly concentrated in older age </w:t>
                      </w:r>
                      <w:proofErr w:type="spellStart"/>
                      <w:r w:rsidRPr="00A7148F">
                        <w:rPr>
                          <w:rFonts w:ascii="Times New Roman" w:hAnsi="Times New Roman" w:cs="Times New Roman"/>
                        </w:rPr>
                        <w:t>groups.DALY</w:t>
                      </w:r>
                      <w:proofErr w:type="spellEnd"/>
                      <w:r w:rsidRPr="00A7148F">
                        <w:rPr>
                          <w:rFonts w:ascii="Times New Roman" w:hAnsi="Times New Roman" w:cs="Times New Roman"/>
                        </w:rPr>
                        <w:t xml:space="preserve"> cases: The DALY burden is mainly concentrated in middle-aged and elderly populations, underscoring the vulnerability of these age groups to the disease burden.</w:t>
                      </w:r>
                    </w:p>
                  </w:txbxContent>
                </v:textbox>
                <w10:wrap type="topAndBottom" anchorx="margin"/>
              </v:shape>
            </w:pict>
          </mc:Fallback>
        </mc:AlternateContent>
      </w:r>
      <w:r w:rsidR="00122C09">
        <w:rPr>
          <w:rFonts w:hint="eastAsia"/>
        </w:rPr>
        <w:br w:type="page"/>
      </w:r>
    </w:p>
    <w:p w14:paraId="0E952225" w14:textId="1CC8B79C" w:rsidR="00122C09" w:rsidRDefault="00CB2C78">
      <w:pPr>
        <w:widowControl/>
        <w:jc w:val="left"/>
      </w:pPr>
      <w:r>
        <w:rPr>
          <w:noProof/>
        </w:rPr>
        <w:lastRenderedPageBreak/>
        <mc:AlternateContent>
          <mc:Choice Requires="wps">
            <w:drawing>
              <wp:anchor distT="0" distB="0" distL="114300" distR="114300" simplePos="0" relativeHeight="251678720" behindDoc="0" locked="0" layoutInCell="1" allowOverlap="1" wp14:anchorId="5B38A8C6" wp14:editId="4782DC17">
                <wp:simplePos x="0" y="0"/>
                <wp:positionH relativeFrom="page">
                  <wp:posOffset>540550</wp:posOffset>
                </wp:positionH>
                <wp:positionV relativeFrom="paragraph">
                  <wp:posOffset>7008973</wp:posOffset>
                </wp:positionV>
                <wp:extent cx="14202682" cy="635"/>
                <wp:effectExtent l="0" t="0" r="8890" b="7620"/>
                <wp:wrapTopAndBottom/>
                <wp:docPr id="112557178" name="文本框 1"/>
                <wp:cNvGraphicFramePr/>
                <a:graphic xmlns:a="http://schemas.openxmlformats.org/drawingml/2006/main">
                  <a:graphicData uri="http://schemas.microsoft.com/office/word/2010/wordprocessingShape">
                    <wps:wsp>
                      <wps:cNvSpPr txBox="1"/>
                      <wps:spPr>
                        <a:xfrm>
                          <a:off x="0" y="0"/>
                          <a:ext cx="14202682" cy="635"/>
                        </a:xfrm>
                        <a:prstGeom prst="rect">
                          <a:avLst/>
                        </a:prstGeom>
                        <a:solidFill>
                          <a:prstClr val="white"/>
                        </a:solidFill>
                        <a:ln>
                          <a:noFill/>
                        </a:ln>
                      </wps:spPr>
                      <wps:txbx>
                        <w:txbxContent>
                          <w:p w14:paraId="31150AD7" w14:textId="3DA0EA17" w:rsidR="00CB2C78" w:rsidRPr="00CB2C78" w:rsidRDefault="00CB2C78" w:rsidP="00CB2C78">
                            <w:pPr>
                              <w:pStyle w:val="a3"/>
                              <w:rPr>
                                <w:rFonts w:ascii="Times New Roman" w:hAnsi="Times New Roman" w:cs="Times New Roman"/>
                              </w:rPr>
                            </w:pPr>
                            <w:r w:rsidRPr="00CB2C78">
                              <w:rPr>
                                <w:rFonts w:ascii="Times New Roman" w:hAnsi="Times New Roman" w:cs="Times New Roman"/>
                                <w:b/>
                                <w:bCs/>
                              </w:rPr>
                              <w:t xml:space="preserve">Supplement Figure </w:t>
                            </w:r>
                            <w:r w:rsidRPr="00CB2C78">
                              <w:rPr>
                                <w:rFonts w:ascii="Times New Roman" w:hAnsi="Times New Roman" w:cs="Times New Roman"/>
                                <w:b/>
                                <w:bCs/>
                              </w:rPr>
                              <w:fldChar w:fldCharType="begin"/>
                            </w:r>
                            <w:r w:rsidRPr="00CB2C78">
                              <w:rPr>
                                <w:rFonts w:ascii="Times New Roman" w:hAnsi="Times New Roman" w:cs="Times New Roman"/>
                                <w:b/>
                                <w:bCs/>
                              </w:rPr>
                              <w:instrText xml:space="preserve"> SEQ Supplement_Figure \* ARABIC </w:instrText>
                            </w:r>
                            <w:r w:rsidRPr="00CB2C78">
                              <w:rPr>
                                <w:rFonts w:ascii="Times New Roman" w:hAnsi="Times New Roman" w:cs="Times New Roman"/>
                                <w:b/>
                                <w:bCs/>
                              </w:rPr>
                              <w:fldChar w:fldCharType="separate"/>
                            </w:r>
                            <w:r w:rsidR="005D68A2">
                              <w:rPr>
                                <w:rFonts w:ascii="Times New Roman" w:hAnsi="Times New Roman" w:cs="Times New Roman"/>
                                <w:b/>
                                <w:bCs/>
                                <w:noProof/>
                              </w:rPr>
                              <w:t>7</w:t>
                            </w:r>
                            <w:r w:rsidRPr="00CB2C78">
                              <w:rPr>
                                <w:rFonts w:ascii="Times New Roman" w:hAnsi="Times New Roman" w:cs="Times New Roman"/>
                                <w:b/>
                                <w:bCs/>
                              </w:rPr>
                              <w:fldChar w:fldCharType="end"/>
                            </w:r>
                            <w:r w:rsidRPr="00CB2C78">
                              <w:rPr>
                                <w:rFonts w:ascii="Times New Roman" w:hAnsi="Times New Roman" w:cs="Times New Roman"/>
                              </w:rPr>
                              <w:t xml:space="preserve">  Trends in the temporal distribution of age-standardized rates (ASR, Panel A) and total number of cases (Panel B) of incidence, prevalence, deaths, and disability-adjusted life years (DALYs) of endocarditis by age group from 1990 to 2021.</w:t>
                            </w:r>
                            <w:r w:rsidRPr="00CB2C78">
                              <w:rPr>
                                <w:rFonts w:ascii="Times New Roman" w:hAnsi="Times New Roman" w:cs="Times New Roman"/>
                                <w:b/>
                                <w:bCs/>
                              </w:rPr>
                              <w:t>Panel A:</w:t>
                            </w:r>
                            <w:r w:rsidRPr="00CB2C78">
                              <w:rPr>
                                <w:rFonts w:ascii="Times New Roman" w:hAnsi="Times New Roman" w:cs="Times New Roman"/>
                              </w:rPr>
                              <w:t xml:space="preserve"> Shows the trends in age-standardized rates (ASR) for different age groups from 1990 to 2021, including incidence, prevalence, deaths, and </w:t>
                            </w:r>
                            <w:proofErr w:type="spellStart"/>
                            <w:r w:rsidRPr="00CB2C78">
                              <w:rPr>
                                <w:rFonts w:ascii="Times New Roman" w:hAnsi="Times New Roman" w:cs="Times New Roman"/>
                              </w:rPr>
                              <w:t>DALYs.Incidence</w:t>
                            </w:r>
                            <w:proofErr w:type="spellEnd"/>
                            <w:r w:rsidRPr="00CB2C78">
                              <w:rPr>
                                <w:rFonts w:ascii="Times New Roman" w:hAnsi="Times New Roman" w:cs="Times New Roman"/>
                              </w:rPr>
                              <w:t xml:space="preserve">: Incidence rates have steadily increased across all age groups, with the highest rates consistently observed in individuals aged 95 years and older. Rates in children remain low with minimal changes over </w:t>
                            </w:r>
                            <w:proofErr w:type="spellStart"/>
                            <w:r w:rsidRPr="00CB2C78">
                              <w:rPr>
                                <w:rFonts w:ascii="Times New Roman" w:hAnsi="Times New Roman" w:cs="Times New Roman"/>
                              </w:rPr>
                              <w:t>time.Prevalence</w:t>
                            </w:r>
                            <w:proofErr w:type="spellEnd"/>
                            <w:r w:rsidRPr="00CB2C78">
                              <w:rPr>
                                <w:rFonts w:ascii="Times New Roman" w:hAnsi="Times New Roman" w:cs="Times New Roman"/>
                              </w:rPr>
                              <w:t xml:space="preserve">: Prevalence rates have increased annually across all age groups, with older populations (especially those aged 95+ years) showing the most significant </w:t>
                            </w:r>
                            <w:proofErr w:type="spellStart"/>
                            <w:r w:rsidRPr="00CB2C78">
                              <w:rPr>
                                <w:rFonts w:ascii="Times New Roman" w:hAnsi="Times New Roman" w:cs="Times New Roman"/>
                              </w:rPr>
                              <w:t>growth.Deaths</w:t>
                            </w:r>
                            <w:proofErr w:type="spellEnd"/>
                            <w:r w:rsidRPr="00CB2C78">
                              <w:rPr>
                                <w:rFonts w:ascii="Times New Roman" w:hAnsi="Times New Roman" w:cs="Times New Roman"/>
                              </w:rPr>
                              <w:t xml:space="preserve">: Death rates rise with age, with a pronounced increase in older adults (90-94 years and 95+ years), while younger age groups exhibit low and relatively stable </w:t>
                            </w:r>
                            <w:proofErr w:type="spellStart"/>
                            <w:r w:rsidRPr="00CB2C78">
                              <w:rPr>
                                <w:rFonts w:ascii="Times New Roman" w:hAnsi="Times New Roman" w:cs="Times New Roman"/>
                              </w:rPr>
                              <w:t>rates.DALYs</w:t>
                            </w:r>
                            <w:proofErr w:type="spellEnd"/>
                            <w:r w:rsidRPr="00CB2C78">
                              <w:rPr>
                                <w:rFonts w:ascii="Times New Roman" w:hAnsi="Times New Roman" w:cs="Times New Roman"/>
                              </w:rPr>
                              <w:t>: The DALY burden has increased steadily across all age groups, with the highest burden observed in the 95+ years age group.</w:t>
                            </w:r>
                          </w:p>
                          <w:p w14:paraId="2E1038EF" w14:textId="33EC5E73" w:rsidR="00CB2C78" w:rsidRPr="00CB2C78" w:rsidRDefault="00CB2C78" w:rsidP="00CB2C78">
                            <w:pPr>
                              <w:pStyle w:val="a3"/>
                              <w:rPr>
                                <w:rFonts w:ascii="Times New Roman" w:hAnsi="Times New Roman" w:cs="Times New Roman"/>
                                <w:noProof/>
                                <w:sz w:val="22"/>
                              </w:rPr>
                            </w:pPr>
                            <w:r w:rsidRPr="00CB2C78">
                              <w:rPr>
                                <w:rFonts w:ascii="Times New Roman" w:hAnsi="Times New Roman" w:cs="Times New Roman"/>
                                <w:b/>
                                <w:bCs/>
                              </w:rPr>
                              <w:t>Panel B:</w:t>
                            </w:r>
                            <w:r w:rsidRPr="00CB2C78">
                              <w:rPr>
                                <w:rFonts w:ascii="Times New Roman" w:hAnsi="Times New Roman" w:cs="Times New Roman"/>
                              </w:rPr>
                              <w:t xml:space="preserve"> Illustrates the trends in the total number of cases for incidence, prevalence, deaths, and DALYs by age group from 1990 to 2021.Incidence cases: The number of incidence cases has shown a consistent upward trend across most age </w:t>
                            </w:r>
                            <w:proofErr w:type="spellStart"/>
                            <w:r w:rsidRPr="00CB2C78">
                              <w:rPr>
                                <w:rFonts w:ascii="Times New Roman" w:hAnsi="Times New Roman" w:cs="Times New Roman"/>
                              </w:rPr>
                              <w:t>groups.Prevalence</w:t>
                            </w:r>
                            <w:proofErr w:type="spellEnd"/>
                            <w:r w:rsidRPr="00CB2C78">
                              <w:rPr>
                                <w:rFonts w:ascii="Times New Roman" w:hAnsi="Times New Roman" w:cs="Times New Roman"/>
                              </w:rPr>
                              <w:t xml:space="preserve"> cases: Prevalence cases have significantly increased in older populations, reflecting the cumulative effect of chronic </w:t>
                            </w:r>
                            <w:proofErr w:type="spellStart"/>
                            <w:r w:rsidRPr="00CB2C78">
                              <w:rPr>
                                <w:rFonts w:ascii="Times New Roman" w:hAnsi="Times New Roman" w:cs="Times New Roman"/>
                              </w:rPr>
                              <w:t>disease.Death</w:t>
                            </w:r>
                            <w:proofErr w:type="spellEnd"/>
                            <w:r w:rsidRPr="00CB2C78">
                              <w:rPr>
                                <w:rFonts w:ascii="Times New Roman" w:hAnsi="Times New Roman" w:cs="Times New Roman"/>
                              </w:rPr>
                              <w:t xml:space="preserve"> cases: Death cases have risen sharply in older age groups (75 years and above), while younger age groups maintain consistently lower </w:t>
                            </w:r>
                            <w:proofErr w:type="spellStart"/>
                            <w:r w:rsidRPr="00CB2C78">
                              <w:rPr>
                                <w:rFonts w:ascii="Times New Roman" w:hAnsi="Times New Roman" w:cs="Times New Roman"/>
                              </w:rPr>
                              <w:t>numbers.DALY</w:t>
                            </w:r>
                            <w:proofErr w:type="spellEnd"/>
                            <w:r w:rsidRPr="00CB2C78">
                              <w:rPr>
                                <w:rFonts w:ascii="Times New Roman" w:hAnsi="Times New Roman" w:cs="Times New Roman"/>
                              </w:rPr>
                              <w:t xml:space="preserve"> cases: The number of DALY cases has increased across most age groups, with a notable decline observed in the 0-5 years age group.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B38A8C6" id="_x0000_s1032" type="#_x0000_t202" style="position:absolute;margin-left:42.55pt;margin-top:551.9pt;width:1118.3pt;height:.05pt;z-index:25167872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" stroked="f">
                <v:textbox style="mso-fit-shape-to-text:t" inset="0,0,0,0">
                  <w:txbxContent>
                    <w:p w14:paraId="31150AD7" w14:textId="3DA0EA17" w:rsidR="00CB2C78" w:rsidRPr="00CB2C78" w:rsidRDefault="00CB2C78" w:rsidP="00CB2C78">
                      <w:pPr>
                        <w:pStyle w:val="a3"/>
                        <w:rPr>
                          <w:rFonts w:ascii="Times New Roman" w:hAnsi="Times New Roman" w:cs="Times New Roman"/>
                        </w:rPr>
                      </w:pPr>
                      <w:r w:rsidRPr="00CB2C78">
                        <w:rPr>
                          <w:rFonts w:ascii="Times New Roman" w:hAnsi="Times New Roman" w:cs="Times New Roman"/>
                          <w:b/>
                          <w:bCs/>
                        </w:rPr>
                        <w:t xml:space="preserve">Supplement Figure </w:t>
                      </w:r>
                      <w:r w:rsidRPr="00CB2C78">
                        <w:rPr>
                          <w:rFonts w:ascii="Times New Roman" w:hAnsi="Times New Roman" w:cs="Times New Roman"/>
                          <w:b/>
                          <w:bCs/>
                        </w:rPr>
                        <w:fldChar w:fldCharType="begin"/>
                      </w:r>
                      <w:r w:rsidRPr="00CB2C78">
                        <w:rPr>
                          <w:rFonts w:ascii="Times New Roman" w:hAnsi="Times New Roman" w:cs="Times New Roman"/>
                          <w:b/>
                          <w:bCs/>
                        </w:rPr>
                        <w:instrText xml:space="preserve"> SEQ Supplement_Figure \* ARABIC </w:instrText>
                      </w:r>
                      <w:r w:rsidRPr="00CB2C78">
                        <w:rPr>
                          <w:rFonts w:ascii="Times New Roman" w:hAnsi="Times New Roman" w:cs="Times New Roman"/>
                          <w:b/>
                          <w:bCs/>
                        </w:rPr>
                        <w:fldChar w:fldCharType="separate"/>
                      </w:r>
                      <w:r w:rsidR="005D68A2">
                        <w:rPr>
                          <w:rFonts w:ascii="Times New Roman" w:hAnsi="Times New Roman" w:cs="Times New Roman"/>
                          <w:b/>
                          <w:bCs/>
                          <w:noProof/>
                        </w:rPr>
                        <w:t>7</w:t>
                      </w:r>
                      <w:r w:rsidRPr="00CB2C78">
                        <w:rPr>
                          <w:rFonts w:ascii="Times New Roman" w:hAnsi="Times New Roman" w:cs="Times New Roman"/>
                          <w:b/>
                          <w:bCs/>
                        </w:rPr>
                        <w:fldChar w:fldCharType="end"/>
                      </w:r>
                      <w:r w:rsidRPr="00CB2C78">
                        <w:rPr>
                          <w:rFonts w:ascii="Times New Roman" w:hAnsi="Times New Roman" w:cs="Times New Roman"/>
                        </w:rPr>
                        <w:t xml:space="preserve">  Trends in the temporal distribution of age-standardized rates (ASR, Panel A) and total number of cases (Panel B) of incidence, prevalence, deaths, and disability-adjusted life years (DALYs) of endocarditis by age group from 1990 to 2021.</w:t>
                      </w:r>
                      <w:r w:rsidRPr="00CB2C78">
                        <w:rPr>
                          <w:rFonts w:ascii="Times New Roman" w:hAnsi="Times New Roman" w:cs="Times New Roman"/>
                          <w:b/>
                          <w:bCs/>
                        </w:rPr>
                        <w:t>Panel A:</w:t>
                      </w:r>
                      <w:r w:rsidRPr="00CB2C78">
                        <w:rPr>
                          <w:rFonts w:ascii="Times New Roman" w:hAnsi="Times New Roman" w:cs="Times New Roman"/>
                        </w:rPr>
                        <w:t xml:space="preserve"> Shows the trends in age-standardized rates (ASR) for different age groups from 1990 to 2021, including incidence, prevalence, deaths, and </w:t>
                      </w:r>
                      <w:proofErr w:type="spellStart"/>
                      <w:r w:rsidRPr="00CB2C78">
                        <w:rPr>
                          <w:rFonts w:ascii="Times New Roman" w:hAnsi="Times New Roman" w:cs="Times New Roman"/>
                        </w:rPr>
                        <w:t>DALYs.Incidence</w:t>
                      </w:r>
                      <w:proofErr w:type="spellEnd"/>
                      <w:r w:rsidRPr="00CB2C78">
                        <w:rPr>
                          <w:rFonts w:ascii="Times New Roman" w:hAnsi="Times New Roman" w:cs="Times New Roman"/>
                        </w:rPr>
                        <w:t xml:space="preserve">: Incidence rates have steadily increased across all age groups, with the highest rates consistently observed in individuals aged 95 years and older. Rates in children remain low with minimal changes over </w:t>
                      </w:r>
                      <w:proofErr w:type="spellStart"/>
                      <w:r w:rsidRPr="00CB2C78">
                        <w:rPr>
                          <w:rFonts w:ascii="Times New Roman" w:hAnsi="Times New Roman" w:cs="Times New Roman"/>
                        </w:rPr>
                        <w:t>time.Prevalence</w:t>
                      </w:r>
                      <w:proofErr w:type="spellEnd"/>
                      <w:r w:rsidRPr="00CB2C78">
                        <w:rPr>
                          <w:rFonts w:ascii="Times New Roman" w:hAnsi="Times New Roman" w:cs="Times New Roman"/>
                        </w:rPr>
                        <w:t xml:space="preserve">: Prevalence rates have increased annually across all age groups, with older populations (especially those aged 95+ years) showing the most significant </w:t>
                      </w:r>
                      <w:proofErr w:type="spellStart"/>
                      <w:r w:rsidRPr="00CB2C78">
                        <w:rPr>
                          <w:rFonts w:ascii="Times New Roman" w:hAnsi="Times New Roman" w:cs="Times New Roman"/>
                        </w:rPr>
                        <w:t>growth.Deaths</w:t>
                      </w:r>
                      <w:proofErr w:type="spellEnd"/>
                      <w:r w:rsidRPr="00CB2C78">
                        <w:rPr>
                          <w:rFonts w:ascii="Times New Roman" w:hAnsi="Times New Roman" w:cs="Times New Roman"/>
                        </w:rPr>
                        <w:t xml:space="preserve">: Death rates rise with age, with a pronounced increase in older adults (90-94 years and 95+ years), while younger age groups exhibit low and relatively stable </w:t>
                      </w:r>
                      <w:proofErr w:type="spellStart"/>
                      <w:r w:rsidRPr="00CB2C78">
                        <w:rPr>
                          <w:rFonts w:ascii="Times New Roman" w:hAnsi="Times New Roman" w:cs="Times New Roman"/>
                        </w:rPr>
                        <w:t>rates.DALYs</w:t>
                      </w:r>
                      <w:proofErr w:type="spellEnd"/>
                      <w:r w:rsidRPr="00CB2C78">
                        <w:rPr>
                          <w:rFonts w:ascii="Times New Roman" w:hAnsi="Times New Roman" w:cs="Times New Roman"/>
                        </w:rPr>
                        <w:t>: The DALY burden has increased steadily across all age groups, with the highest burden observed in the 95+ years age group.</w:t>
                      </w:r>
                    </w:p>
                    <w:p w14:paraId="2E1038EF" w14:textId="33EC5E73" w:rsidR="00CB2C78" w:rsidRPr="00CB2C78" w:rsidRDefault="00CB2C78" w:rsidP="00CB2C78">
                      <w:pPr>
                        <w:pStyle w:val="a3"/>
                        <w:rPr>
                          <w:rFonts w:ascii="Times New Roman" w:hAnsi="Times New Roman" w:cs="Times New Roman"/>
                          <w:noProof/>
                          <w:sz w:val="22"/>
                        </w:rPr>
                      </w:pPr>
                      <w:r w:rsidRPr="00CB2C78">
                        <w:rPr>
                          <w:rFonts w:ascii="Times New Roman" w:hAnsi="Times New Roman" w:cs="Times New Roman"/>
                          <w:b/>
                          <w:bCs/>
                        </w:rPr>
                        <w:t>Panel B:</w:t>
                      </w:r>
                      <w:r w:rsidRPr="00CB2C78">
                        <w:rPr>
                          <w:rFonts w:ascii="Times New Roman" w:hAnsi="Times New Roman" w:cs="Times New Roman"/>
                        </w:rPr>
                        <w:t xml:space="preserve"> Illustrates the trends in the total number of cases for incidence, prevalence, deaths, and DALYs by age group from 1990 to 2021.Incidence cases: The number of incidence cases has shown a consistent upward trend across most age </w:t>
                      </w:r>
                      <w:proofErr w:type="spellStart"/>
                      <w:r w:rsidRPr="00CB2C78">
                        <w:rPr>
                          <w:rFonts w:ascii="Times New Roman" w:hAnsi="Times New Roman" w:cs="Times New Roman"/>
                        </w:rPr>
                        <w:t>groups.Prevalence</w:t>
                      </w:r>
                      <w:proofErr w:type="spellEnd"/>
                      <w:r w:rsidRPr="00CB2C78">
                        <w:rPr>
                          <w:rFonts w:ascii="Times New Roman" w:hAnsi="Times New Roman" w:cs="Times New Roman"/>
                        </w:rPr>
                        <w:t xml:space="preserve"> cases: Prevalence cases have significantly increased in older populations, reflecting the cumulative effect of chronic </w:t>
                      </w:r>
                      <w:proofErr w:type="spellStart"/>
                      <w:r w:rsidRPr="00CB2C78">
                        <w:rPr>
                          <w:rFonts w:ascii="Times New Roman" w:hAnsi="Times New Roman" w:cs="Times New Roman"/>
                        </w:rPr>
                        <w:t>disease.Death</w:t>
                      </w:r>
                      <w:proofErr w:type="spellEnd"/>
                      <w:r w:rsidRPr="00CB2C78">
                        <w:rPr>
                          <w:rFonts w:ascii="Times New Roman" w:hAnsi="Times New Roman" w:cs="Times New Roman"/>
                        </w:rPr>
                        <w:t xml:space="preserve"> cases: Death cases have risen sharply in older age groups (75 years and above), while younger age groups maintain consistently lower </w:t>
                      </w:r>
                      <w:proofErr w:type="spellStart"/>
                      <w:r w:rsidRPr="00CB2C78">
                        <w:rPr>
                          <w:rFonts w:ascii="Times New Roman" w:hAnsi="Times New Roman" w:cs="Times New Roman"/>
                        </w:rPr>
                        <w:t>numbers.DALY</w:t>
                      </w:r>
                      <w:proofErr w:type="spellEnd"/>
                      <w:r w:rsidRPr="00CB2C78">
                        <w:rPr>
                          <w:rFonts w:ascii="Times New Roman" w:hAnsi="Times New Roman" w:cs="Times New Roman"/>
                        </w:rPr>
                        <w:t xml:space="preserve"> cases: The number of DALY cases has increased across most age groups, with a notable decline observed in the 0-5 years age group.</w:t>
                      </w:r>
                    </w:p>
                  </w:txbxContent>
                </v:textbox>
                <w10:wrap type="topAndBottom" anchorx="page"/>
              </v:shape>
            </w:pict>
          </mc:Fallback>
        </mc:AlternateContent>
      </w:r>
      <w:r w:rsidR="00BA5EE7">
        <w:rPr>
          <w:rFonts w:hint="eastAsia"/>
          <w:noProof/>
        </w:rPr>
        <w:drawing>
          <wp:anchor distT="0" distB="0" distL="114300" distR="114300" simplePos="0" relativeHeight="251676672" behindDoc="0" locked="0" layoutInCell="1" allowOverlap="1" wp14:anchorId="6222787A" wp14:editId="71809254">
            <wp:simplePos x="0" y="0"/>
            <wp:positionH relativeFrom="margin">
              <wp:posOffset>3461047</wp:posOffset>
            </wp:positionH>
            <wp:positionV relativeFrom="paragraph">
              <wp:posOffset>49307</wp:posOffset>
            </wp:positionV>
            <wp:extent cx="6256655" cy="6952615"/>
            <wp:effectExtent l="0" t="0" r="0" b="635"/>
            <wp:wrapTopAndBottom/>
            <wp:docPr id="1086388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38871" name="图片 108638871"/>
                    <pic:cNvPicPr/>
                  </pic:nvPicPr>
                  <pic:blipFill>
                    <a:blip r:embed="rId14"/>
                    <a:stretch>
                      <a:fillRect/>
                    </a:stretch>
                  </pic:blipFill>
                  <pic:spPr>
                    <a:xfrm>
                      <a:off x="0" y="0"/>
                      <a:ext cx="6256655" cy="6952615"/>
                    </a:xfrm>
                    <a:prstGeom prst="rect">
                      <a:avLst/>
                    </a:prstGeom>
                  </pic:spPr>
                </pic:pic>
              </a:graphicData>
            </a:graphic>
            <wp14:sizeRelH relativeFrom="margin">
              <wp14:pctWidth>0</wp14:pctWidth>
            </wp14:sizeRelH>
            <wp14:sizeRelV relativeFrom="margin">
              <wp14:pctHeight>0</wp14:pctHeight>
            </wp14:sizeRelV>
          </wp:anchor>
        </w:drawing>
      </w:r>
      <w:r w:rsidR="00122C09">
        <w:rPr>
          <w:rFonts w:hint="eastAsia"/>
        </w:rPr>
        <w:br w:type="page"/>
      </w:r>
    </w:p>
    <w:p w14:paraId="148EDA82" w14:textId="3B8384A0" w:rsidR="00122C09" w:rsidRDefault="0002587C">
      <w:pPr>
        <w:widowControl/>
        <w:jc w:val="left"/>
      </w:pPr>
      <w:r>
        <w:rPr>
          <w:rFonts w:hint="eastAsia"/>
          <w:noProof/>
        </w:rPr>
        <w:lastRenderedPageBreak/>
        <w:drawing>
          <wp:anchor distT="0" distB="0" distL="114300" distR="114300" simplePos="0" relativeHeight="251679744" behindDoc="0" locked="0" layoutInCell="1" allowOverlap="1" wp14:anchorId="75E7F07D" wp14:editId="2BC601D6">
            <wp:simplePos x="0" y="0"/>
            <wp:positionH relativeFrom="margin">
              <wp:posOffset>3086998</wp:posOffset>
            </wp:positionH>
            <wp:positionV relativeFrom="paragraph">
              <wp:posOffset>0</wp:posOffset>
            </wp:positionV>
            <wp:extent cx="6958330" cy="6958330"/>
            <wp:effectExtent l="0" t="0" r="0" b="0"/>
            <wp:wrapTopAndBottom/>
            <wp:docPr id="19364509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50901" name="图片 1936450901"/>
                    <pic:cNvPicPr/>
                  </pic:nvPicPr>
                  <pic:blipFill>
                    <a:blip r:embed="rId15"/>
                    <a:stretch>
                      <a:fillRect/>
                    </a:stretch>
                  </pic:blipFill>
                  <pic:spPr>
                    <a:xfrm>
                      <a:off x="0" y="0"/>
                      <a:ext cx="6958330" cy="695833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1792" behindDoc="0" locked="0" layoutInCell="1" allowOverlap="1" wp14:anchorId="56210D39" wp14:editId="112BA3A7">
                <wp:simplePos x="0" y="0"/>
                <wp:positionH relativeFrom="margin">
                  <wp:posOffset>-190006</wp:posOffset>
                </wp:positionH>
                <wp:positionV relativeFrom="paragraph">
                  <wp:posOffset>7056804</wp:posOffset>
                </wp:positionV>
                <wp:extent cx="13857605" cy="635"/>
                <wp:effectExtent l="0" t="0" r="0" b="7620"/>
                <wp:wrapTopAndBottom/>
                <wp:docPr id="1324319596" name="文本框 1"/>
                <wp:cNvGraphicFramePr/>
                <a:graphic xmlns:a="http://schemas.openxmlformats.org/drawingml/2006/main">
                  <a:graphicData uri="http://schemas.microsoft.com/office/word/2010/wordprocessingShape">
                    <wps:wsp>
                      <wps:cNvSpPr txBox="1"/>
                      <wps:spPr>
                        <a:xfrm>
                          <a:off x="0" y="0"/>
                          <a:ext cx="13857605" cy="635"/>
                        </a:xfrm>
                        <a:prstGeom prst="rect">
                          <a:avLst/>
                        </a:prstGeom>
                        <a:solidFill>
                          <a:prstClr val="white"/>
                        </a:solidFill>
                        <a:ln>
                          <a:noFill/>
                        </a:ln>
                      </wps:spPr>
                      <wps:txbx>
                        <w:txbxContent>
                          <w:p w14:paraId="4386E7BD" w14:textId="333F5DDC" w:rsidR="0002587C" w:rsidRPr="0002587C" w:rsidRDefault="0002587C" w:rsidP="0002587C">
                            <w:pPr>
                              <w:pStyle w:val="a3"/>
                              <w:rPr>
                                <w:rFonts w:ascii="Times New Roman" w:hAnsi="Times New Roman" w:cs="Times New Roman"/>
                                <w:noProof/>
                                <w:sz w:val="22"/>
                              </w:rPr>
                            </w:pPr>
                            <w:r w:rsidRPr="0002587C">
                              <w:rPr>
                                <w:rFonts w:ascii="Times New Roman" w:hAnsi="Times New Roman" w:cs="Times New Roman"/>
                                <w:b/>
                                <w:bCs/>
                              </w:rPr>
                              <w:t xml:space="preserve">Supplement Figure </w:t>
                            </w:r>
                            <w:r w:rsidRPr="0002587C">
                              <w:rPr>
                                <w:rFonts w:ascii="Times New Roman" w:hAnsi="Times New Roman" w:cs="Times New Roman"/>
                                <w:b/>
                                <w:bCs/>
                              </w:rPr>
                              <w:fldChar w:fldCharType="begin"/>
                            </w:r>
                            <w:r w:rsidRPr="0002587C">
                              <w:rPr>
                                <w:rFonts w:ascii="Times New Roman" w:hAnsi="Times New Roman" w:cs="Times New Roman"/>
                                <w:b/>
                                <w:bCs/>
                              </w:rPr>
                              <w:instrText xml:space="preserve"> SEQ Supplement_Figure \* ARABIC </w:instrText>
                            </w:r>
                            <w:r w:rsidRPr="0002587C">
                              <w:rPr>
                                <w:rFonts w:ascii="Times New Roman" w:hAnsi="Times New Roman" w:cs="Times New Roman"/>
                                <w:b/>
                                <w:bCs/>
                              </w:rPr>
                              <w:fldChar w:fldCharType="separate"/>
                            </w:r>
                            <w:r w:rsidR="005D68A2">
                              <w:rPr>
                                <w:rFonts w:ascii="Times New Roman" w:hAnsi="Times New Roman" w:cs="Times New Roman"/>
                                <w:b/>
                                <w:bCs/>
                                <w:noProof/>
                              </w:rPr>
                              <w:t>8</w:t>
                            </w:r>
                            <w:r w:rsidRPr="0002587C">
                              <w:rPr>
                                <w:rFonts w:ascii="Times New Roman" w:hAnsi="Times New Roman" w:cs="Times New Roman"/>
                                <w:b/>
                                <w:bCs/>
                              </w:rPr>
                              <w:fldChar w:fldCharType="end"/>
                            </w:r>
                            <w:r w:rsidRPr="0002587C">
                              <w:rPr>
                                <w:rFonts w:ascii="Times New Roman" w:hAnsi="Times New Roman" w:cs="Times New Roman"/>
                              </w:rPr>
                              <w:t xml:space="preserve">  Trends in the temporal distribution of age-standardized rates (ASR, Panel A) and total number of cases (Panel B) of incidence, prevalence, deaths, and disability-adjusted life years (DALYs) of endocarditis by sex from 1990 to 2021.</w:t>
                            </w:r>
                            <w:r w:rsidRPr="0002587C">
                              <w:rPr>
                                <w:rFonts w:ascii="Times New Roman" w:hAnsi="Times New Roman" w:cs="Times New Roman"/>
                                <w:b/>
                                <w:bCs/>
                              </w:rPr>
                              <w:t xml:space="preserve">Panel A: </w:t>
                            </w:r>
                            <w:r w:rsidRPr="0002587C">
                              <w:rPr>
                                <w:rFonts w:ascii="Times New Roman" w:hAnsi="Times New Roman" w:cs="Times New Roman"/>
                              </w:rPr>
                              <w:t xml:space="preserve">Displays the trends in age-standardized rates (ASR) by sex from 1990 to 2021, including incidence, prevalence, deaths, and </w:t>
                            </w:r>
                            <w:proofErr w:type="spellStart"/>
                            <w:r w:rsidRPr="0002587C">
                              <w:rPr>
                                <w:rFonts w:ascii="Times New Roman" w:hAnsi="Times New Roman" w:cs="Times New Roman"/>
                              </w:rPr>
                              <w:t>DALYs.Incidence</w:t>
                            </w:r>
                            <w:proofErr w:type="spellEnd"/>
                            <w:r w:rsidRPr="0002587C">
                              <w:rPr>
                                <w:rFonts w:ascii="Times New Roman" w:hAnsi="Times New Roman" w:cs="Times New Roman"/>
                              </w:rPr>
                              <w:t xml:space="preserve">: The incidence rate in males is significantly higher than in females, with a steady increase over time and a widening gap between the two </w:t>
                            </w:r>
                            <w:proofErr w:type="spellStart"/>
                            <w:r w:rsidRPr="0002587C">
                              <w:rPr>
                                <w:rFonts w:ascii="Times New Roman" w:hAnsi="Times New Roman" w:cs="Times New Roman"/>
                              </w:rPr>
                              <w:t>sexes.Prevalence</w:t>
                            </w:r>
                            <w:proofErr w:type="spellEnd"/>
                            <w:r w:rsidRPr="0002587C">
                              <w:rPr>
                                <w:rFonts w:ascii="Times New Roman" w:hAnsi="Times New Roman" w:cs="Times New Roman"/>
                              </w:rPr>
                              <w:t xml:space="preserve">: Prevalence rates are higher in males, and both sexes exhibit an upward trend over </w:t>
                            </w:r>
                            <w:proofErr w:type="spellStart"/>
                            <w:r w:rsidRPr="0002587C">
                              <w:rPr>
                                <w:rFonts w:ascii="Times New Roman" w:hAnsi="Times New Roman" w:cs="Times New Roman"/>
                              </w:rPr>
                              <w:t>time.Deaths</w:t>
                            </w:r>
                            <w:proofErr w:type="spellEnd"/>
                            <w:r w:rsidRPr="0002587C">
                              <w:rPr>
                                <w:rFonts w:ascii="Times New Roman" w:hAnsi="Times New Roman" w:cs="Times New Roman"/>
                              </w:rPr>
                              <w:t xml:space="preserve">: Death rates in males peaked around 2000 and subsequently showed a fluctuating decline, whereas female death rates increased slightly before 2000 and then steadily </w:t>
                            </w:r>
                            <w:proofErr w:type="spellStart"/>
                            <w:r w:rsidRPr="0002587C">
                              <w:rPr>
                                <w:rFonts w:ascii="Times New Roman" w:hAnsi="Times New Roman" w:cs="Times New Roman"/>
                              </w:rPr>
                              <w:t>decreased.DALYs</w:t>
                            </w:r>
                            <w:proofErr w:type="spellEnd"/>
                            <w:r w:rsidRPr="0002587C">
                              <w:rPr>
                                <w:rFonts w:ascii="Times New Roman" w:hAnsi="Times New Roman" w:cs="Times New Roman"/>
                              </w:rPr>
                              <w:t>: The DALY burden in males is consistently higher than in females. Female DALY burden remains relatively low and has shown a gradual decline since 2000.</w:t>
                            </w:r>
                            <w:r w:rsidRPr="0002587C">
                              <w:rPr>
                                <w:rFonts w:ascii="Times New Roman" w:hAnsi="Times New Roman" w:cs="Times New Roman"/>
                                <w:b/>
                                <w:bCs/>
                              </w:rPr>
                              <w:t>Panel B:</w:t>
                            </w:r>
                            <w:r w:rsidRPr="0002587C">
                              <w:rPr>
                                <w:rFonts w:ascii="Times New Roman" w:hAnsi="Times New Roman" w:cs="Times New Roman"/>
                              </w:rPr>
                              <w:t xml:space="preserve"> Illustrates the trends in total cases of incidence, prevalence, deaths, and DALYs by sex from 1990 to 2021.Incidence cases: The number of incidence cases has increased steadily in both sexes, with males consistently showing higher </w:t>
                            </w:r>
                            <w:proofErr w:type="spellStart"/>
                            <w:r w:rsidRPr="0002587C">
                              <w:rPr>
                                <w:rFonts w:ascii="Times New Roman" w:hAnsi="Times New Roman" w:cs="Times New Roman"/>
                              </w:rPr>
                              <w:t>numbers.Prevalence</w:t>
                            </w:r>
                            <w:proofErr w:type="spellEnd"/>
                            <w:r w:rsidRPr="0002587C">
                              <w:rPr>
                                <w:rFonts w:ascii="Times New Roman" w:hAnsi="Times New Roman" w:cs="Times New Roman"/>
                              </w:rPr>
                              <w:t xml:space="preserve"> cases: The prevalence cases show a rising trend for both males and </w:t>
                            </w:r>
                            <w:proofErr w:type="spellStart"/>
                            <w:r w:rsidRPr="0002587C">
                              <w:rPr>
                                <w:rFonts w:ascii="Times New Roman" w:hAnsi="Times New Roman" w:cs="Times New Roman"/>
                              </w:rPr>
                              <w:t>females.Death</w:t>
                            </w:r>
                            <w:proofErr w:type="spellEnd"/>
                            <w:r w:rsidRPr="0002587C">
                              <w:rPr>
                                <w:rFonts w:ascii="Times New Roman" w:hAnsi="Times New Roman" w:cs="Times New Roman"/>
                              </w:rPr>
                              <w:t xml:space="preserve"> cases: Death cases have increased gradually in both sexes, with a relatively small difference, though males exhibit slightly higher </w:t>
                            </w:r>
                            <w:proofErr w:type="spellStart"/>
                            <w:r w:rsidRPr="0002587C">
                              <w:rPr>
                                <w:rFonts w:ascii="Times New Roman" w:hAnsi="Times New Roman" w:cs="Times New Roman"/>
                              </w:rPr>
                              <w:t>numbers.DALY</w:t>
                            </w:r>
                            <w:proofErr w:type="spellEnd"/>
                            <w:r w:rsidRPr="0002587C">
                              <w:rPr>
                                <w:rFonts w:ascii="Times New Roman" w:hAnsi="Times New Roman" w:cs="Times New Roman"/>
                              </w:rPr>
                              <w:t xml:space="preserve"> cases: The number of DALY cases in males is significantly higher than in females, with a steady increase over time.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6210D39" id="_x0000_s1033" type="#_x0000_t202" style="position:absolute;margin-left:-14.95pt;margin-top:555.65pt;width:1091.15pt;height:.05pt;z-index:2516817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" stroked="f">
                <v:textbox style="mso-fit-shape-to-text:t" inset="0,0,0,0">
                  <w:txbxContent>
                    <w:p w14:paraId="4386E7BD" w14:textId="333F5DDC" w:rsidR="0002587C" w:rsidRPr="0002587C" w:rsidRDefault="0002587C" w:rsidP="0002587C">
                      <w:pPr>
                        <w:pStyle w:val="a3"/>
                        <w:rPr>
                          <w:rFonts w:ascii="Times New Roman" w:hAnsi="Times New Roman" w:cs="Times New Roman"/>
                          <w:noProof/>
                          <w:sz w:val="22"/>
                        </w:rPr>
                      </w:pPr>
                      <w:r w:rsidRPr="0002587C">
                        <w:rPr>
                          <w:rFonts w:ascii="Times New Roman" w:hAnsi="Times New Roman" w:cs="Times New Roman"/>
                          <w:b/>
                          <w:bCs/>
                        </w:rPr>
                        <w:t xml:space="preserve">Supplement Figure </w:t>
                      </w:r>
                      <w:r w:rsidRPr="0002587C">
                        <w:rPr>
                          <w:rFonts w:ascii="Times New Roman" w:hAnsi="Times New Roman" w:cs="Times New Roman"/>
                          <w:b/>
                          <w:bCs/>
                        </w:rPr>
                        <w:fldChar w:fldCharType="begin"/>
                      </w:r>
                      <w:r w:rsidRPr="0002587C">
                        <w:rPr>
                          <w:rFonts w:ascii="Times New Roman" w:hAnsi="Times New Roman" w:cs="Times New Roman"/>
                          <w:b/>
                          <w:bCs/>
                        </w:rPr>
                        <w:instrText xml:space="preserve"> SEQ Supplement_Figure \* ARABIC </w:instrText>
                      </w:r>
                      <w:r w:rsidRPr="0002587C">
                        <w:rPr>
                          <w:rFonts w:ascii="Times New Roman" w:hAnsi="Times New Roman" w:cs="Times New Roman"/>
                          <w:b/>
                          <w:bCs/>
                        </w:rPr>
                        <w:fldChar w:fldCharType="separate"/>
                      </w:r>
                      <w:r w:rsidR="005D68A2">
                        <w:rPr>
                          <w:rFonts w:ascii="Times New Roman" w:hAnsi="Times New Roman" w:cs="Times New Roman"/>
                          <w:b/>
                          <w:bCs/>
                          <w:noProof/>
                        </w:rPr>
                        <w:t>8</w:t>
                      </w:r>
                      <w:r w:rsidRPr="0002587C">
                        <w:rPr>
                          <w:rFonts w:ascii="Times New Roman" w:hAnsi="Times New Roman" w:cs="Times New Roman"/>
                          <w:b/>
                          <w:bCs/>
                        </w:rPr>
                        <w:fldChar w:fldCharType="end"/>
                      </w:r>
                      <w:r w:rsidRPr="0002587C">
                        <w:rPr>
                          <w:rFonts w:ascii="Times New Roman" w:hAnsi="Times New Roman" w:cs="Times New Roman"/>
                        </w:rPr>
                        <w:t xml:space="preserve">  Trends in the temporal distribution of age-standardized rates (ASR, Panel A) and total number of cases (Panel B) of incidence, prevalence, deaths, and disability-adjusted life years (DALYs) of endocarditis by sex from 1990 to 2021.</w:t>
                      </w:r>
                      <w:r w:rsidRPr="0002587C">
                        <w:rPr>
                          <w:rFonts w:ascii="Times New Roman" w:hAnsi="Times New Roman" w:cs="Times New Roman"/>
                          <w:b/>
                          <w:bCs/>
                        </w:rPr>
                        <w:t xml:space="preserve">Panel A: </w:t>
                      </w:r>
                      <w:r w:rsidRPr="0002587C">
                        <w:rPr>
                          <w:rFonts w:ascii="Times New Roman" w:hAnsi="Times New Roman" w:cs="Times New Roman"/>
                        </w:rPr>
                        <w:t xml:space="preserve">Displays the trends in age-standardized rates (ASR) by sex from 1990 to 2021, including incidence, prevalence, deaths, and </w:t>
                      </w:r>
                      <w:proofErr w:type="spellStart"/>
                      <w:r w:rsidRPr="0002587C">
                        <w:rPr>
                          <w:rFonts w:ascii="Times New Roman" w:hAnsi="Times New Roman" w:cs="Times New Roman"/>
                        </w:rPr>
                        <w:t>DALYs.Incidence</w:t>
                      </w:r>
                      <w:proofErr w:type="spellEnd"/>
                      <w:r w:rsidRPr="0002587C">
                        <w:rPr>
                          <w:rFonts w:ascii="Times New Roman" w:hAnsi="Times New Roman" w:cs="Times New Roman"/>
                        </w:rPr>
                        <w:t xml:space="preserve">: The incidence rate in males is significantly higher than in females, with a steady increase over time and a widening gap between the two </w:t>
                      </w:r>
                      <w:proofErr w:type="spellStart"/>
                      <w:r w:rsidRPr="0002587C">
                        <w:rPr>
                          <w:rFonts w:ascii="Times New Roman" w:hAnsi="Times New Roman" w:cs="Times New Roman"/>
                        </w:rPr>
                        <w:t>sexes.Prevalence</w:t>
                      </w:r>
                      <w:proofErr w:type="spellEnd"/>
                      <w:r w:rsidRPr="0002587C">
                        <w:rPr>
                          <w:rFonts w:ascii="Times New Roman" w:hAnsi="Times New Roman" w:cs="Times New Roman"/>
                        </w:rPr>
                        <w:t xml:space="preserve">: Prevalence rates are higher in males, and both sexes exhibit an upward trend over </w:t>
                      </w:r>
                      <w:proofErr w:type="spellStart"/>
                      <w:r w:rsidRPr="0002587C">
                        <w:rPr>
                          <w:rFonts w:ascii="Times New Roman" w:hAnsi="Times New Roman" w:cs="Times New Roman"/>
                        </w:rPr>
                        <w:t>time.Deaths</w:t>
                      </w:r>
                      <w:proofErr w:type="spellEnd"/>
                      <w:r w:rsidRPr="0002587C">
                        <w:rPr>
                          <w:rFonts w:ascii="Times New Roman" w:hAnsi="Times New Roman" w:cs="Times New Roman"/>
                        </w:rPr>
                        <w:t xml:space="preserve">: Death rates in males peaked around 2000 and subsequently showed a fluctuating decline, whereas female death rates increased slightly before 2000 and then steadily </w:t>
                      </w:r>
                      <w:proofErr w:type="spellStart"/>
                      <w:r w:rsidRPr="0002587C">
                        <w:rPr>
                          <w:rFonts w:ascii="Times New Roman" w:hAnsi="Times New Roman" w:cs="Times New Roman"/>
                        </w:rPr>
                        <w:t>decreased.DALYs</w:t>
                      </w:r>
                      <w:proofErr w:type="spellEnd"/>
                      <w:r w:rsidRPr="0002587C">
                        <w:rPr>
                          <w:rFonts w:ascii="Times New Roman" w:hAnsi="Times New Roman" w:cs="Times New Roman"/>
                        </w:rPr>
                        <w:t>: The DALY burden in males is consistently higher than in females. Female DALY burden remains relatively low and has shown a gradual decline since 2000.</w:t>
                      </w:r>
                      <w:r w:rsidRPr="0002587C">
                        <w:rPr>
                          <w:rFonts w:ascii="Times New Roman" w:hAnsi="Times New Roman" w:cs="Times New Roman"/>
                          <w:b/>
                          <w:bCs/>
                        </w:rPr>
                        <w:t>Panel B:</w:t>
                      </w:r>
                      <w:r w:rsidRPr="0002587C">
                        <w:rPr>
                          <w:rFonts w:ascii="Times New Roman" w:hAnsi="Times New Roman" w:cs="Times New Roman"/>
                        </w:rPr>
                        <w:t xml:space="preserve"> Illustrates the trends in total cases of incidence, prevalence, deaths, and DALYs by sex from 1990 to 2021.Incidence cases: The number of incidence cases has increased steadily in both sexes, with males consistently showing higher </w:t>
                      </w:r>
                      <w:proofErr w:type="spellStart"/>
                      <w:r w:rsidRPr="0002587C">
                        <w:rPr>
                          <w:rFonts w:ascii="Times New Roman" w:hAnsi="Times New Roman" w:cs="Times New Roman"/>
                        </w:rPr>
                        <w:t>numbers.Prevalence</w:t>
                      </w:r>
                      <w:proofErr w:type="spellEnd"/>
                      <w:r w:rsidRPr="0002587C">
                        <w:rPr>
                          <w:rFonts w:ascii="Times New Roman" w:hAnsi="Times New Roman" w:cs="Times New Roman"/>
                        </w:rPr>
                        <w:t xml:space="preserve"> cases: The prevalence cases show a rising trend for both males and </w:t>
                      </w:r>
                      <w:proofErr w:type="spellStart"/>
                      <w:r w:rsidRPr="0002587C">
                        <w:rPr>
                          <w:rFonts w:ascii="Times New Roman" w:hAnsi="Times New Roman" w:cs="Times New Roman"/>
                        </w:rPr>
                        <w:t>females.Death</w:t>
                      </w:r>
                      <w:proofErr w:type="spellEnd"/>
                      <w:r w:rsidRPr="0002587C">
                        <w:rPr>
                          <w:rFonts w:ascii="Times New Roman" w:hAnsi="Times New Roman" w:cs="Times New Roman"/>
                        </w:rPr>
                        <w:t xml:space="preserve"> cases: Death cases have increased gradually in both sexes, with a relatively small difference, though males exhibit slightly higher </w:t>
                      </w:r>
                      <w:proofErr w:type="spellStart"/>
                      <w:r w:rsidRPr="0002587C">
                        <w:rPr>
                          <w:rFonts w:ascii="Times New Roman" w:hAnsi="Times New Roman" w:cs="Times New Roman"/>
                        </w:rPr>
                        <w:t>numbers.DALY</w:t>
                      </w:r>
                      <w:proofErr w:type="spellEnd"/>
                      <w:r w:rsidRPr="0002587C">
                        <w:rPr>
                          <w:rFonts w:ascii="Times New Roman" w:hAnsi="Times New Roman" w:cs="Times New Roman"/>
                        </w:rPr>
                        <w:t xml:space="preserve"> cases: The number of DALY cases in males is significantly higher than in females, with a steady increase over time.</w:t>
                      </w:r>
                    </w:p>
                  </w:txbxContent>
                </v:textbox>
                <w10:wrap type="topAndBottom" anchorx="margin"/>
              </v:shape>
            </w:pict>
          </mc:Fallback>
        </mc:AlternateContent>
      </w:r>
      <w:r w:rsidR="00122C09">
        <w:rPr>
          <w:rFonts w:hint="eastAsia"/>
        </w:rPr>
        <w:br w:type="page"/>
      </w:r>
    </w:p>
    <w:p w14:paraId="7DA52C9C" w14:textId="6E859FAE" w:rsidR="00122C09" w:rsidRDefault="004641D8">
      <w:pPr>
        <w:widowControl/>
        <w:jc w:val="left"/>
      </w:pPr>
      <w:r>
        <w:rPr>
          <w:rFonts w:hint="eastAsia"/>
          <w:noProof/>
        </w:rPr>
        <w:lastRenderedPageBreak/>
        <w:drawing>
          <wp:anchor distT="0" distB="0" distL="114300" distR="114300" simplePos="0" relativeHeight="251682816" behindDoc="0" locked="0" layoutInCell="1" allowOverlap="1" wp14:anchorId="130780F6" wp14:editId="174BC961">
            <wp:simplePos x="0" y="0"/>
            <wp:positionH relativeFrom="margin">
              <wp:align>center</wp:align>
            </wp:positionH>
            <wp:positionV relativeFrom="paragraph">
              <wp:posOffset>0</wp:posOffset>
            </wp:positionV>
            <wp:extent cx="6825615" cy="6731635"/>
            <wp:effectExtent l="0" t="0" r="0" b="0"/>
            <wp:wrapTopAndBottom/>
            <wp:docPr id="12890536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053632" name="图片 1289053632"/>
                    <pic:cNvPicPr/>
                  </pic:nvPicPr>
                  <pic:blipFill>
                    <a:blip r:embed="rId16"/>
                    <a:stretch>
                      <a:fillRect/>
                    </a:stretch>
                  </pic:blipFill>
                  <pic:spPr>
                    <a:xfrm>
                      <a:off x="0" y="0"/>
                      <a:ext cx="6825615" cy="6731635"/>
                    </a:xfrm>
                    <a:prstGeom prst="rect">
                      <a:avLst/>
                    </a:prstGeom>
                  </pic:spPr>
                </pic:pic>
              </a:graphicData>
            </a:graphic>
            <wp14:sizeRelH relativeFrom="margin">
              <wp14:pctWidth>0</wp14:pctWidth>
            </wp14:sizeRelH>
            <wp14:sizeRelV relativeFrom="margin">
              <wp14:pctHeight>0</wp14:pctHeight>
            </wp14:sizeRelV>
          </wp:anchor>
        </w:drawing>
      </w:r>
      <w:r w:rsidR="00CB4A85">
        <w:rPr>
          <w:noProof/>
        </w:rPr>
        <mc:AlternateContent>
          <mc:Choice Requires="wps">
            <w:drawing>
              <wp:anchor distT="0" distB="0" distL="114300" distR="114300" simplePos="0" relativeHeight="251684864" behindDoc="0" locked="0" layoutInCell="1" allowOverlap="1" wp14:anchorId="76927CAD" wp14:editId="2916A088">
                <wp:simplePos x="0" y="0"/>
                <wp:positionH relativeFrom="column">
                  <wp:posOffset>-338496</wp:posOffset>
                </wp:positionH>
                <wp:positionV relativeFrom="paragraph">
                  <wp:posOffset>6920238</wp:posOffset>
                </wp:positionV>
                <wp:extent cx="14232255" cy="635"/>
                <wp:effectExtent l="0" t="0" r="0" b="7620"/>
                <wp:wrapTopAndBottom/>
                <wp:docPr id="880226378" name="文本框 1"/>
                <wp:cNvGraphicFramePr/>
                <a:graphic xmlns:a="http://schemas.openxmlformats.org/drawingml/2006/main">
                  <a:graphicData uri="http://schemas.microsoft.com/office/word/2010/wordprocessingShape">
                    <wps:wsp>
                      <wps:cNvSpPr txBox="1"/>
                      <wps:spPr>
                        <a:xfrm>
                          <a:off x="0" y="0"/>
                          <a:ext cx="14232255" cy="635"/>
                        </a:xfrm>
                        <a:prstGeom prst="rect">
                          <a:avLst/>
                        </a:prstGeom>
                        <a:solidFill>
                          <a:prstClr val="white"/>
                        </a:solidFill>
                        <a:ln>
                          <a:noFill/>
                        </a:ln>
                      </wps:spPr>
                      <wps:txbx>
                        <w:txbxContent>
                          <w:p w14:paraId="25B10C0F" w14:textId="5A816580" w:rsidR="00CB4A85" w:rsidRPr="00CB4A85" w:rsidRDefault="00CB4A85" w:rsidP="00CB4A85">
                            <w:pPr>
                              <w:pStyle w:val="a3"/>
                              <w:rPr>
                                <w:rFonts w:ascii="Times New Roman" w:hAnsi="Times New Roman" w:cs="Times New Roman"/>
                                <w:noProof/>
                                <w:sz w:val="22"/>
                              </w:rPr>
                            </w:pPr>
                            <w:r w:rsidRPr="00CB4A85">
                              <w:rPr>
                                <w:rFonts w:ascii="Times New Roman" w:hAnsi="Times New Roman" w:cs="Times New Roman"/>
                                <w:b/>
                                <w:bCs/>
                              </w:rPr>
                              <w:t xml:space="preserve">Supplement Figure </w:t>
                            </w:r>
                            <w:r w:rsidRPr="00CB4A85">
                              <w:rPr>
                                <w:rFonts w:ascii="Times New Roman" w:hAnsi="Times New Roman" w:cs="Times New Roman"/>
                                <w:b/>
                                <w:bCs/>
                              </w:rPr>
                              <w:fldChar w:fldCharType="begin"/>
                            </w:r>
                            <w:r w:rsidRPr="00CB4A85">
                              <w:rPr>
                                <w:rFonts w:ascii="Times New Roman" w:hAnsi="Times New Roman" w:cs="Times New Roman"/>
                                <w:b/>
                                <w:bCs/>
                              </w:rPr>
                              <w:instrText xml:space="preserve"> SEQ Supplement_Figure \* ARABIC </w:instrText>
                            </w:r>
                            <w:r w:rsidRPr="00CB4A85">
                              <w:rPr>
                                <w:rFonts w:ascii="Times New Roman" w:hAnsi="Times New Roman" w:cs="Times New Roman"/>
                                <w:b/>
                                <w:bCs/>
                              </w:rPr>
                              <w:fldChar w:fldCharType="separate"/>
                            </w:r>
                            <w:r w:rsidR="005D68A2">
                              <w:rPr>
                                <w:rFonts w:ascii="Times New Roman" w:hAnsi="Times New Roman" w:cs="Times New Roman"/>
                                <w:b/>
                                <w:bCs/>
                                <w:noProof/>
                              </w:rPr>
                              <w:t>9</w:t>
                            </w:r>
                            <w:r w:rsidRPr="00CB4A85">
                              <w:rPr>
                                <w:rFonts w:ascii="Times New Roman" w:hAnsi="Times New Roman" w:cs="Times New Roman"/>
                                <w:b/>
                                <w:bCs/>
                              </w:rPr>
                              <w:fldChar w:fldCharType="end"/>
                            </w:r>
                            <w:r w:rsidRPr="00CB4A85">
                              <w:rPr>
                                <w:rFonts w:ascii="Times New Roman" w:hAnsi="Times New Roman" w:cs="Times New Roman"/>
                              </w:rPr>
                              <w:t xml:space="preserve">  The global burden of endocarditis in 2021 by sex: age-standardized rates (ASR, Panel A) and total number of cases (Panel B) of incidence, prevalence, deaths, and disability-adjusted life years (DALYs).</w:t>
                            </w:r>
                            <w:r w:rsidRPr="00B10EA0">
                              <w:rPr>
                                <w:rFonts w:ascii="Times New Roman" w:hAnsi="Times New Roman" w:cs="Times New Roman"/>
                                <w:b/>
                                <w:bCs/>
                              </w:rPr>
                              <w:t>Panel A:</w:t>
                            </w:r>
                            <w:r w:rsidRPr="00CB4A85">
                              <w:rPr>
                                <w:rFonts w:ascii="Times New Roman" w:hAnsi="Times New Roman" w:cs="Times New Roman"/>
                              </w:rPr>
                              <w:t xml:space="preserve"> Displays the age-standardized rates (ASR) for males and females, including incidence, prevalence, deaths, and </w:t>
                            </w:r>
                            <w:proofErr w:type="spellStart"/>
                            <w:r w:rsidRPr="00CB4A85">
                              <w:rPr>
                                <w:rFonts w:ascii="Times New Roman" w:hAnsi="Times New Roman" w:cs="Times New Roman"/>
                              </w:rPr>
                              <w:t>DALYs.Incidence</w:t>
                            </w:r>
                            <w:proofErr w:type="spellEnd"/>
                            <w:r w:rsidRPr="00CB4A85">
                              <w:rPr>
                                <w:rFonts w:ascii="Times New Roman" w:hAnsi="Times New Roman" w:cs="Times New Roman"/>
                              </w:rPr>
                              <w:t xml:space="preserve">: The incidence rate in males is significantly higher than in </w:t>
                            </w:r>
                            <w:proofErr w:type="spellStart"/>
                            <w:r w:rsidRPr="00CB4A85">
                              <w:rPr>
                                <w:rFonts w:ascii="Times New Roman" w:hAnsi="Times New Roman" w:cs="Times New Roman"/>
                              </w:rPr>
                              <w:t>females.Prevalence</w:t>
                            </w:r>
                            <w:proofErr w:type="spellEnd"/>
                            <w:r w:rsidRPr="00CB4A85">
                              <w:rPr>
                                <w:rFonts w:ascii="Times New Roman" w:hAnsi="Times New Roman" w:cs="Times New Roman"/>
                              </w:rPr>
                              <w:t xml:space="preserve">: The prevalence rate is higher in males, with a noticeable gap between the two </w:t>
                            </w:r>
                            <w:proofErr w:type="spellStart"/>
                            <w:r w:rsidRPr="00CB4A85">
                              <w:rPr>
                                <w:rFonts w:ascii="Times New Roman" w:hAnsi="Times New Roman" w:cs="Times New Roman"/>
                              </w:rPr>
                              <w:t>sexes.Deaths</w:t>
                            </w:r>
                            <w:proofErr w:type="spellEnd"/>
                            <w:r w:rsidRPr="00CB4A85">
                              <w:rPr>
                                <w:rFonts w:ascii="Times New Roman" w:hAnsi="Times New Roman" w:cs="Times New Roman"/>
                              </w:rPr>
                              <w:t xml:space="preserve">: The death rate in males is higher than in females, with a substantial difference between the two </w:t>
                            </w:r>
                            <w:proofErr w:type="spellStart"/>
                            <w:r w:rsidRPr="00CB4A85">
                              <w:rPr>
                                <w:rFonts w:ascii="Times New Roman" w:hAnsi="Times New Roman" w:cs="Times New Roman"/>
                              </w:rPr>
                              <w:t>groups.DALYs</w:t>
                            </w:r>
                            <w:proofErr w:type="spellEnd"/>
                            <w:r w:rsidRPr="00CB4A85">
                              <w:rPr>
                                <w:rFonts w:ascii="Times New Roman" w:hAnsi="Times New Roman" w:cs="Times New Roman"/>
                              </w:rPr>
                              <w:t xml:space="preserve">: The DALY burden is significantly higher in males, reflecting a more considerable impact on healthy life years compared to </w:t>
                            </w:r>
                            <w:proofErr w:type="spellStart"/>
                            <w:r w:rsidRPr="00CB4A85">
                              <w:rPr>
                                <w:rFonts w:ascii="Times New Roman" w:hAnsi="Times New Roman" w:cs="Times New Roman"/>
                              </w:rPr>
                              <w:t>females.</w:t>
                            </w:r>
                            <w:r w:rsidRPr="00B10EA0">
                              <w:rPr>
                                <w:rFonts w:ascii="Times New Roman" w:hAnsi="Times New Roman" w:cs="Times New Roman"/>
                                <w:b/>
                                <w:bCs/>
                              </w:rPr>
                              <w:t>Panel</w:t>
                            </w:r>
                            <w:proofErr w:type="spellEnd"/>
                            <w:r w:rsidRPr="00B10EA0">
                              <w:rPr>
                                <w:rFonts w:ascii="Times New Roman" w:hAnsi="Times New Roman" w:cs="Times New Roman"/>
                                <w:b/>
                                <w:bCs/>
                              </w:rPr>
                              <w:t xml:space="preserve"> B:</w:t>
                            </w:r>
                            <w:r w:rsidRPr="00CB4A85">
                              <w:rPr>
                                <w:rFonts w:ascii="Times New Roman" w:hAnsi="Times New Roman" w:cs="Times New Roman"/>
                              </w:rPr>
                              <w:t xml:space="preserve"> Shows the total number of cases of endocarditis by sex in 2021, including incidence, prevalence, deaths, and </w:t>
                            </w:r>
                            <w:proofErr w:type="spellStart"/>
                            <w:r w:rsidRPr="00CB4A85">
                              <w:rPr>
                                <w:rFonts w:ascii="Times New Roman" w:hAnsi="Times New Roman" w:cs="Times New Roman"/>
                              </w:rPr>
                              <w:t>DALYs.Incidence</w:t>
                            </w:r>
                            <w:proofErr w:type="spellEnd"/>
                            <w:r w:rsidRPr="00CB4A85">
                              <w:rPr>
                                <w:rFonts w:ascii="Times New Roman" w:hAnsi="Times New Roman" w:cs="Times New Roman"/>
                              </w:rPr>
                              <w:t xml:space="preserve"> cases: The number of incidence cases is noticeably higher in males than in </w:t>
                            </w:r>
                            <w:proofErr w:type="spellStart"/>
                            <w:r w:rsidRPr="00CB4A85">
                              <w:rPr>
                                <w:rFonts w:ascii="Times New Roman" w:hAnsi="Times New Roman" w:cs="Times New Roman"/>
                              </w:rPr>
                              <w:t>females.Prevalence</w:t>
                            </w:r>
                            <w:proofErr w:type="spellEnd"/>
                            <w:r w:rsidRPr="00CB4A85">
                              <w:rPr>
                                <w:rFonts w:ascii="Times New Roman" w:hAnsi="Times New Roman" w:cs="Times New Roman"/>
                              </w:rPr>
                              <w:t xml:space="preserve"> cases: Both males and females show high prevalence, with relatively minor differences between the </w:t>
                            </w:r>
                            <w:proofErr w:type="spellStart"/>
                            <w:r w:rsidRPr="00CB4A85">
                              <w:rPr>
                                <w:rFonts w:ascii="Times New Roman" w:hAnsi="Times New Roman" w:cs="Times New Roman"/>
                              </w:rPr>
                              <w:t>two.Death</w:t>
                            </w:r>
                            <w:proofErr w:type="spellEnd"/>
                            <w:r w:rsidRPr="00CB4A85">
                              <w:rPr>
                                <w:rFonts w:ascii="Times New Roman" w:hAnsi="Times New Roman" w:cs="Times New Roman"/>
                              </w:rPr>
                              <w:t xml:space="preserve"> cases: The number of deaths is higher in males than in </w:t>
                            </w:r>
                            <w:proofErr w:type="spellStart"/>
                            <w:r w:rsidRPr="00CB4A85">
                              <w:rPr>
                                <w:rFonts w:ascii="Times New Roman" w:hAnsi="Times New Roman" w:cs="Times New Roman"/>
                              </w:rPr>
                              <w:t>females.DALY</w:t>
                            </w:r>
                            <w:proofErr w:type="spellEnd"/>
                            <w:r w:rsidRPr="00CB4A85">
                              <w:rPr>
                                <w:rFonts w:ascii="Times New Roman" w:hAnsi="Times New Roman" w:cs="Times New Roman"/>
                              </w:rPr>
                              <w:t xml:space="preserve"> cases: The number of DALY cases in males is significantly higher than in females, highlighting the greater disease burden among males.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927CAD" id="_x0000_s1034" type="#_x0000_t202" style="position:absolute;margin-left:-26.65pt;margin-top:544.9pt;width:1120.65pt;height:.0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" stroked="f">
                <v:textbox style="mso-fit-shape-to-text:t" inset="0,0,0,0">
                  <w:txbxContent>
                    <w:p w14:paraId="25B10C0F" w14:textId="5A816580" w:rsidR="00CB4A85" w:rsidRPr="00CB4A85" w:rsidRDefault="00CB4A85" w:rsidP="00CB4A85">
                      <w:pPr>
                        <w:pStyle w:val="a3"/>
                        <w:rPr>
                          <w:rFonts w:ascii="Times New Roman" w:hAnsi="Times New Roman" w:cs="Times New Roman"/>
                          <w:noProof/>
                          <w:sz w:val="22"/>
                        </w:rPr>
                      </w:pPr>
                      <w:r w:rsidRPr="00CB4A85">
                        <w:rPr>
                          <w:rFonts w:ascii="Times New Roman" w:hAnsi="Times New Roman" w:cs="Times New Roman"/>
                          <w:b/>
                          <w:bCs/>
                        </w:rPr>
                        <w:t xml:space="preserve">Supplement Figure </w:t>
                      </w:r>
                      <w:r w:rsidRPr="00CB4A85">
                        <w:rPr>
                          <w:rFonts w:ascii="Times New Roman" w:hAnsi="Times New Roman" w:cs="Times New Roman"/>
                          <w:b/>
                          <w:bCs/>
                        </w:rPr>
                        <w:fldChar w:fldCharType="begin"/>
                      </w:r>
                      <w:r w:rsidRPr="00CB4A85">
                        <w:rPr>
                          <w:rFonts w:ascii="Times New Roman" w:hAnsi="Times New Roman" w:cs="Times New Roman"/>
                          <w:b/>
                          <w:bCs/>
                        </w:rPr>
                        <w:instrText xml:space="preserve"> SEQ Supplement_Figure \* ARABIC </w:instrText>
                      </w:r>
                      <w:r w:rsidRPr="00CB4A85">
                        <w:rPr>
                          <w:rFonts w:ascii="Times New Roman" w:hAnsi="Times New Roman" w:cs="Times New Roman"/>
                          <w:b/>
                          <w:bCs/>
                        </w:rPr>
                        <w:fldChar w:fldCharType="separate"/>
                      </w:r>
                      <w:r w:rsidR="005D68A2">
                        <w:rPr>
                          <w:rFonts w:ascii="Times New Roman" w:hAnsi="Times New Roman" w:cs="Times New Roman"/>
                          <w:b/>
                          <w:bCs/>
                          <w:noProof/>
                        </w:rPr>
                        <w:t>9</w:t>
                      </w:r>
                      <w:r w:rsidRPr="00CB4A85">
                        <w:rPr>
                          <w:rFonts w:ascii="Times New Roman" w:hAnsi="Times New Roman" w:cs="Times New Roman"/>
                          <w:b/>
                          <w:bCs/>
                        </w:rPr>
                        <w:fldChar w:fldCharType="end"/>
                      </w:r>
                      <w:r w:rsidRPr="00CB4A85">
                        <w:rPr>
                          <w:rFonts w:ascii="Times New Roman" w:hAnsi="Times New Roman" w:cs="Times New Roman"/>
                        </w:rPr>
                        <w:t xml:space="preserve">  The global burden of endocarditis in 2021 by sex: age-standardized rates (ASR, Panel A) and total number of cases (Panel B) of incidence, prevalence, deaths, and disability-adjusted life years (DALYs).</w:t>
                      </w:r>
                      <w:r w:rsidRPr="00B10EA0">
                        <w:rPr>
                          <w:rFonts w:ascii="Times New Roman" w:hAnsi="Times New Roman" w:cs="Times New Roman"/>
                          <w:b/>
                          <w:bCs/>
                        </w:rPr>
                        <w:t>Panel A:</w:t>
                      </w:r>
                      <w:r w:rsidRPr="00CB4A85">
                        <w:rPr>
                          <w:rFonts w:ascii="Times New Roman" w:hAnsi="Times New Roman" w:cs="Times New Roman"/>
                        </w:rPr>
                        <w:t xml:space="preserve"> Displays the age-standardized rates (ASR) for males and females, including incidence, prevalence, deaths, and </w:t>
                      </w:r>
                      <w:proofErr w:type="spellStart"/>
                      <w:r w:rsidRPr="00CB4A85">
                        <w:rPr>
                          <w:rFonts w:ascii="Times New Roman" w:hAnsi="Times New Roman" w:cs="Times New Roman"/>
                        </w:rPr>
                        <w:t>DALYs.Incidence</w:t>
                      </w:r>
                      <w:proofErr w:type="spellEnd"/>
                      <w:r w:rsidRPr="00CB4A85">
                        <w:rPr>
                          <w:rFonts w:ascii="Times New Roman" w:hAnsi="Times New Roman" w:cs="Times New Roman"/>
                        </w:rPr>
                        <w:t xml:space="preserve">: The incidence rate in males is significantly higher than in </w:t>
                      </w:r>
                      <w:proofErr w:type="spellStart"/>
                      <w:r w:rsidRPr="00CB4A85">
                        <w:rPr>
                          <w:rFonts w:ascii="Times New Roman" w:hAnsi="Times New Roman" w:cs="Times New Roman"/>
                        </w:rPr>
                        <w:t>females.Prevalence</w:t>
                      </w:r>
                      <w:proofErr w:type="spellEnd"/>
                      <w:r w:rsidRPr="00CB4A85">
                        <w:rPr>
                          <w:rFonts w:ascii="Times New Roman" w:hAnsi="Times New Roman" w:cs="Times New Roman"/>
                        </w:rPr>
                        <w:t xml:space="preserve">: The prevalence rate is higher in males, with a noticeable gap between the two </w:t>
                      </w:r>
                      <w:proofErr w:type="spellStart"/>
                      <w:r w:rsidRPr="00CB4A85">
                        <w:rPr>
                          <w:rFonts w:ascii="Times New Roman" w:hAnsi="Times New Roman" w:cs="Times New Roman"/>
                        </w:rPr>
                        <w:t>sexes.Deaths</w:t>
                      </w:r>
                      <w:proofErr w:type="spellEnd"/>
                      <w:r w:rsidRPr="00CB4A85">
                        <w:rPr>
                          <w:rFonts w:ascii="Times New Roman" w:hAnsi="Times New Roman" w:cs="Times New Roman"/>
                        </w:rPr>
                        <w:t xml:space="preserve">: The death rate in males is higher than in females, with a substantial difference between the two </w:t>
                      </w:r>
                      <w:proofErr w:type="spellStart"/>
                      <w:r w:rsidRPr="00CB4A85">
                        <w:rPr>
                          <w:rFonts w:ascii="Times New Roman" w:hAnsi="Times New Roman" w:cs="Times New Roman"/>
                        </w:rPr>
                        <w:t>groups.DALYs</w:t>
                      </w:r>
                      <w:proofErr w:type="spellEnd"/>
                      <w:r w:rsidRPr="00CB4A85">
                        <w:rPr>
                          <w:rFonts w:ascii="Times New Roman" w:hAnsi="Times New Roman" w:cs="Times New Roman"/>
                        </w:rPr>
                        <w:t xml:space="preserve">: The DALY burden is significantly higher in males, reflecting a more considerable impact on healthy life years compared to </w:t>
                      </w:r>
                      <w:proofErr w:type="spellStart"/>
                      <w:r w:rsidRPr="00CB4A85">
                        <w:rPr>
                          <w:rFonts w:ascii="Times New Roman" w:hAnsi="Times New Roman" w:cs="Times New Roman"/>
                        </w:rPr>
                        <w:t>females.</w:t>
                      </w:r>
                      <w:r w:rsidRPr="00B10EA0">
                        <w:rPr>
                          <w:rFonts w:ascii="Times New Roman" w:hAnsi="Times New Roman" w:cs="Times New Roman"/>
                          <w:b/>
                          <w:bCs/>
                        </w:rPr>
                        <w:t>Panel</w:t>
                      </w:r>
                      <w:proofErr w:type="spellEnd"/>
                      <w:r w:rsidRPr="00B10EA0">
                        <w:rPr>
                          <w:rFonts w:ascii="Times New Roman" w:hAnsi="Times New Roman" w:cs="Times New Roman"/>
                          <w:b/>
                          <w:bCs/>
                        </w:rPr>
                        <w:t xml:space="preserve"> B:</w:t>
                      </w:r>
                      <w:r w:rsidRPr="00CB4A85">
                        <w:rPr>
                          <w:rFonts w:ascii="Times New Roman" w:hAnsi="Times New Roman" w:cs="Times New Roman"/>
                        </w:rPr>
                        <w:t xml:space="preserve"> Shows the total number of cases of endocarditis by sex in 2021, including incidence, prevalence, deaths, and </w:t>
                      </w:r>
                      <w:proofErr w:type="spellStart"/>
                      <w:r w:rsidRPr="00CB4A85">
                        <w:rPr>
                          <w:rFonts w:ascii="Times New Roman" w:hAnsi="Times New Roman" w:cs="Times New Roman"/>
                        </w:rPr>
                        <w:t>DALYs.Incidence</w:t>
                      </w:r>
                      <w:proofErr w:type="spellEnd"/>
                      <w:r w:rsidRPr="00CB4A85">
                        <w:rPr>
                          <w:rFonts w:ascii="Times New Roman" w:hAnsi="Times New Roman" w:cs="Times New Roman"/>
                        </w:rPr>
                        <w:t xml:space="preserve"> cases: The number of incidence cases is noticeably higher in males than in </w:t>
                      </w:r>
                      <w:proofErr w:type="spellStart"/>
                      <w:r w:rsidRPr="00CB4A85">
                        <w:rPr>
                          <w:rFonts w:ascii="Times New Roman" w:hAnsi="Times New Roman" w:cs="Times New Roman"/>
                        </w:rPr>
                        <w:t>females.Prevalence</w:t>
                      </w:r>
                      <w:proofErr w:type="spellEnd"/>
                      <w:r w:rsidRPr="00CB4A85">
                        <w:rPr>
                          <w:rFonts w:ascii="Times New Roman" w:hAnsi="Times New Roman" w:cs="Times New Roman"/>
                        </w:rPr>
                        <w:t xml:space="preserve"> cases: Both males and females show high prevalence, with relatively minor differences between the </w:t>
                      </w:r>
                      <w:proofErr w:type="spellStart"/>
                      <w:r w:rsidRPr="00CB4A85">
                        <w:rPr>
                          <w:rFonts w:ascii="Times New Roman" w:hAnsi="Times New Roman" w:cs="Times New Roman"/>
                        </w:rPr>
                        <w:t>two.Death</w:t>
                      </w:r>
                      <w:proofErr w:type="spellEnd"/>
                      <w:r w:rsidRPr="00CB4A85">
                        <w:rPr>
                          <w:rFonts w:ascii="Times New Roman" w:hAnsi="Times New Roman" w:cs="Times New Roman"/>
                        </w:rPr>
                        <w:t xml:space="preserve"> cases: The number of deaths is higher in males than in </w:t>
                      </w:r>
                      <w:proofErr w:type="spellStart"/>
                      <w:r w:rsidRPr="00CB4A85">
                        <w:rPr>
                          <w:rFonts w:ascii="Times New Roman" w:hAnsi="Times New Roman" w:cs="Times New Roman"/>
                        </w:rPr>
                        <w:t>females.DALY</w:t>
                      </w:r>
                      <w:proofErr w:type="spellEnd"/>
                      <w:r w:rsidRPr="00CB4A85">
                        <w:rPr>
                          <w:rFonts w:ascii="Times New Roman" w:hAnsi="Times New Roman" w:cs="Times New Roman"/>
                        </w:rPr>
                        <w:t xml:space="preserve"> cases: The number of DALY cases in males is significantly higher than in females, highlighting the greater disease burden among males.</w:t>
                      </w:r>
                    </w:p>
                  </w:txbxContent>
                </v:textbox>
                <w10:wrap type="topAndBottom"/>
              </v:shape>
            </w:pict>
          </mc:Fallback>
        </mc:AlternateContent>
      </w:r>
      <w:r w:rsidR="00122C09">
        <w:rPr>
          <w:rFonts w:hint="eastAsia"/>
        </w:rPr>
        <w:br w:type="page"/>
      </w:r>
    </w:p>
    <w:p w14:paraId="4B68FCC2" w14:textId="00806779" w:rsidR="00122C09" w:rsidRDefault="00970AFD">
      <w:pPr>
        <w:widowControl/>
        <w:jc w:val="left"/>
      </w:pPr>
      <w:r>
        <w:rPr>
          <w:noProof/>
        </w:rPr>
        <w:lastRenderedPageBreak/>
        <mc:AlternateContent>
          <mc:Choice Requires="wps">
            <w:drawing>
              <wp:anchor distT="0" distB="0" distL="114300" distR="114300" simplePos="0" relativeHeight="251687936" behindDoc="0" locked="0" layoutInCell="1" allowOverlap="1" wp14:anchorId="590E4CDF" wp14:editId="79A4D3A1">
                <wp:simplePos x="0" y="0"/>
                <wp:positionH relativeFrom="margin">
                  <wp:align>center</wp:align>
                </wp:positionH>
                <wp:positionV relativeFrom="paragraph">
                  <wp:posOffset>6403571</wp:posOffset>
                </wp:positionV>
                <wp:extent cx="11026140" cy="635"/>
                <wp:effectExtent l="0" t="0" r="3810" b="0"/>
                <wp:wrapTopAndBottom/>
                <wp:docPr id="732318050" name="文本框 1"/>
                <wp:cNvGraphicFramePr/>
                <a:graphic xmlns:a="http://schemas.openxmlformats.org/drawingml/2006/main">
                  <a:graphicData uri="http://schemas.microsoft.com/office/word/2010/wordprocessingShape">
                    <wps:wsp>
                      <wps:cNvSpPr txBox="1"/>
                      <wps:spPr>
                        <a:xfrm>
                          <a:off x="0" y="0"/>
                          <a:ext cx="11026140" cy="635"/>
                        </a:xfrm>
                        <a:prstGeom prst="rect">
                          <a:avLst/>
                        </a:prstGeom>
                        <a:solidFill>
                          <a:prstClr val="white"/>
                        </a:solidFill>
                        <a:ln>
                          <a:noFill/>
                        </a:ln>
                      </wps:spPr>
                      <wps:txbx>
                        <w:txbxContent>
                          <w:p w14:paraId="0902D31B" w14:textId="4B922016" w:rsidR="00970AFD" w:rsidRPr="005E77CA" w:rsidRDefault="00970AFD" w:rsidP="005E77CA">
                            <w:pPr>
                              <w:pStyle w:val="a3"/>
                              <w:rPr>
                                <w:rFonts w:ascii="Times New Roman" w:hAnsi="Times New Roman" w:cs="Times New Roman"/>
                                <w:noProof/>
                                <w:sz w:val="22"/>
                              </w:rPr>
                            </w:pPr>
                            <w:r w:rsidRPr="005E77CA">
                              <w:rPr>
                                <w:rFonts w:ascii="Times New Roman" w:hAnsi="Times New Roman" w:cs="Times New Roman"/>
                                <w:b/>
                                <w:bCs/>
                              </w:rPr>
                              <w:t xml:space="preserve">Supplement Figure </w:t>
                            </w:r>
                            <w:r w:rsidRPr="005E77CA">
                              <w:rPr>
                                <w:rFonts w:ascii="Times New Roman" w:hAnsi="Times New Roman" w:cs="Times New Roman"/>
                                <w:b/>
                                <w:bCs/>
                              </w:rPr>
                              <w:fldChar w:fldCharType="begin"/>
                            </w:r>
                            <w:r w:rsidRPr="005E77CA">
                              <w:rPr>
                                <w:rFonts w:ascii="Times New Roman" w:hAnsi="Times New Roman" w:cs="Times New Roman"/>
                                <w:b/>
                                <w:bCs/>
                              </w:rPr>
                              <w:instrText xml:space="preserve"> SEQ Supplement_Figure \* ARABIC </w:instrText>
                            </w:r>
                            <w:r w:rsidRPr="005E77CA">
                              <w:rPr>
                                <w:rFonts w:ascii="Times New Roman" w:hAnsi="Times New Roman" w:cs="Times New Roman"/>
                                <w:b/>
                                <w:bCs/>
                              </w:rPr>
                              <w:fldChar w:fldCharType="separate"/>
                            </w:r>
                            <w:r w:rsidR="005D68A2">
                              <w:rPr>
                                <w:rFonts w:ascii="Times New Roman" w:hAnsi="Times New Roman" w:cs="Times New Roman"/>
                                <w:b/>
                                <w:bCs/>
                                <w:noProof/>
                              </w:rPr>
                              <w:t>10</w:t>
                            </w:r>
                            <w:r w:rsidRPr="005E77CA">
                              <w:rPr>
                                <w:rFonts w:ascii="Times New Roman" w:hAnsi="Times New Roman" w:cs="Times New Roman"/>
                                <w:b/>
                                <w:bCs/>
                              </w:rPr>
                              <w:fldChar w:fldCharType="end"/>
                            </w:r>
                            <w:r w:rsidRPr="005E77CA">
                              <w:rPr>
                                <w:rFonts w:ascii="Times New Roman" w:hAnsi="Times New Roman" w:cs="Times New Roman"/>
                              </w:rPr>
                              <w:t xml:space="preserve">  </w:t>
                            </w:r>
                            <w:r w:rsidR="005E77CA" w:rsidRPr="005E77CA">
                              <w:rPr>
                                <w:rFonts w:ascii="Times New Roman" w:hAnsi="Times New Roman" w:cs="Times New Roman"/>
                              </w:rPr>
                              <w:t xml:space="preserve">Analysis of the correlation between incidence, prevalence, deaths, and disability-adjusted life years (DALYs) of endocarditis and sociodemographic index (SDI) levels in Global Burden of Disease (GBD) regions from 1990 to 2021.Panel A: Shows the relationship between age-standardized incidence rates and SDI levels. Incidence rates increase with rising SDI levels, with a particularly notable upward trend in high-SDI </w:t>
                            </w:r>
                            <w:proofErr w:type="spellStart"/>
                            <w:proofErr w:type="gramStart"/>
                            <w:r w:rsidR="005E77CA" w:rsidRPr="005E77CA">
                              <w:rPr>
                                <w:rFonts w:ascii="Times New Roman" w:hAnsi="Times New Roman" w:cs="Times New Roman"/>
                              </w:rPr>
                              <w:t>regions.Panel</w:t>
                            </w:r>
                            <w:proofErr w:type="spellEnd"/>
                            <w:proofErr w:type="gramEnd"/>
                            <w:r w:rsidR="005E77CA" w:rsidRPr="005E77CA">
                              <w:rPr>
                                <w:rFonts w:ascii="Times New Roman" w:hAnsi="Times New Roman" w:cs="Times New Roman"/>
                              </w:rPr>
                              <w:t xml:space="preserve"> B: Displays the relationship between age-standardized prevalence rates and SDI levels. Prevalence rates show a more pronounced increase in high-SDI </w:t>
                            </w:r>
                            <w:proofErr w:type="spellStart"/>
                            <w:proofErr w:type="gramStart"/>
                            <w:r w:rsidR="005E77CA" w:rsidRPr="005E77CA">
                              <w:rPr>
                                <w:rFonts w:ascii="Times New Roman" w:hAnsi="Times New Roman" w:cs="Times New Roman"/>
                              </w:rPr>
                              <w:t>regions.Panel</w:t>
                            </w:r>
                            <w:proofErr w:type="spellEnd"/>
                            <w:proofErr w:type="gramEnd"/>
                            <w:r w:rsidR="005E77CA" w:rsidRPr="005E77CA">
                              <w:rPr>
                                <w:rFonts w:ascii="Times New Roman" w:hAnsi="Times New Roman" w:cs="Times New Roman"/>
                              </w:rPr>
                              <w:t xml:space="preserve"> C: Illustrates the relationship between age-standardized death rates and SDI levels. Death rates are higher in low-SDI regions and decline as SDI levels improve, but they show a slight rebound in high-SDI </w:t>
                            </w:r>
                            <w:proofErr w:type="spellStart"/>
                            <w:proofErr w:type="gramStart"/>
                            <w:r w:rsidR="005E77CA" w:rsidRPr="005E77CA">
                              <w:rPr>
                                <w:rFonts w:ascii="Times New Roman" w:hAnsi="Times New Roman" w:cs="Times New Roman"/>
                              </w:rPr>
                              <w:t>regions.Panel</w:t>
                            </w:r>
                            <w:proofErr w:type="spellEnd"/>
                            <w:proofErr w:type="gramEnd"/>
                            <w:r w:rsidR="005E77CA" w:rsidRPr="005E77CA">
                              <w:rPr>
                                <w:rFonts w:ascii="Times New Roman" w:hAnsi="Times New Roman" w:cs="Times New Roman"/>
                              </w:rPr>
                              <w:t xml:space="preserve"> D: Depicts the relationship between age-standardized DALY rates and SDI levels. DALY rates are higher in low-SDI regions and gradually decline as SDI levels increase, but there is a slight rise in high-SDI regions, indicating a dual burden of disease.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E4CDF" id="_x0000_s1035" type="#_x0000_t202" style="position:absolute;margin-left:0;margin-top:504.2pt;width:868.2pt;height:.05pt;z-index:25168793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" stroked="f">
                <v:textbox style="mso-fit-shape-to-text:t" inset="0,0,0,0">
                  <w:txbxContent>
                    <w:p w14:paraId="0902D31B" w14:textId="4B922016" w:rsidR="00970AFD" w:rsidRPr="005E77CA" w:rsidRDefault="00970AFD" w:rsidP="005E77CA">
                      <w:pPr>
                        <w:pStyle w:val="a3"/>
                        <w:rPr>
                          <w:rFonts w:ascii="Times New Roman" w:hAnsi="Times New Roman" w:cs="Times New Roman"/>
                          <w:noProof/>
                          <w:sz w:val="22"/>
                        </w:rPr>
                      </w:pPr>
                      <w:r w:rsidRPr="005E77CA">
                        <w:rPr>
                          <w:rFonts w:ascii="Times New Roman" w:hAnsi="Times New Roman" w:cs="Times New Roman"/>
                          <w:b/>
                          <w:bCs/>
                        </w:rPr>
                        <w:t xml:space="preserve">Supplement Figure </w:t>
                      </w:r>
                      <w:r w:rsidRPr="005E77CA">
                        <w:rPr>
                          <w:rFonts w:ascii="Times New Roman" w:hAnsi="Times New Roman" w:cs="Times New Roman"/>
                          <w:b/>
                          <w:bCs/>
                        </w:rPr>
                        <w:fldChar w:fldCharType="begin"/>
                      </w:r>
                      <w:r w:rsidRPr="005E77CA">
                        <w:rPr>
                          <w:rFonts w:ascii="Times New Roman" w:hAnsi="Times New Roman" w:cs="Times New Roman"/>
                          <w:b/>
                          <w:bCs/>
                        </w:rPr>
                        <w:instrText xml:space="preserve"> SEQ Supplement_Figure \* ARABIC </w:instrText>
                      </w:r>
                      <w:r w:rsidRPr="005E77CA">
                        <w:rPr>
                          <w:rFonts w:ascii="Times New Roman" w:hAnsi="Times New Roman" w:cs="Times New Roman"/>
                          <w:b/>
                          <w:bCs/>
                        </w:rPr>
                        <w:fldChar w:fldCharType="separate"/>
                      </w:r>
                      <w:r w:rsidR="005D68A2">
                        <w:rPr>
                          <w:rFonts w:ascii="Times New Roman" w:hAnsi="Times New Roman" w:cs="Times New Roman"/>
                          <w:b/>
                          <w:bCs/>
                          <w:noProof/>
                        </w:rPr>
                        <w:t>10</w:t>
                      </w:r>
                      <w:r w:rsidRPr="005E77CA">
                        <w:rPr>
                          <w:rFonts w:ascii="Times New Roman" w:hAnsi="Times New Roman" w:cs="Times New Roman"/>
                          <w:b/>
                          <w:bCs/>
                        </w:rPr>
                        <w:fldChar w:fldCharType="end"/>
                      </w:r>
                      <w:r w:rsidRPr="005E77CA">
                        <w:rPr>
                          <w:rFonts w:ascii="Times New Roman" w:hAnsi="Times New Roman" w:cs="Times New Roman"/>
                        </w:rPr>
                        <w:t xml:space="preserve">  </w:t>
                      </w:r>
                      <w:r w:rsidR="005E77CA" w:rsidRPr="005E77CA">
                        <w:rPr>
                          <w:rFonts w:ascii="Times New Roman" w:hAnsi="Times New Roman" w:cs="Times New Roman"/>
                        </w:rPr>
                        <w:t xml:space="preserve">Analysis of the correlation between incidence, prevalence, deaths, and disability-adjusted life years (DALYs) of endocarditis and sociodemographic index (SDI) levels in Global Burden of Disease (GBD) regions from 1990 to 2021.Panel A: Shows the relationship between age-standardized incidence rates and SDI levels. Incidence rates increase with rising SDI levels, with a particularly notable upward trend in high-SDI </w:t>
                      </w:r>
                      <w:proofErr w:type="spellStart"/>
                      <w:proofErr w:type="gramStart"/>
                      <w:r w:rsidR="005E77CA" w:rsidRPr="005E77CA">
                        <w:rPr>
                          <w:rFonts w:ascii="Times New Roman" w:hAnsi="Times New Roman" w:cs="Times New Roman"/>
                        </w:rPr>
                        <w:t>regions.Panel</w:t>
                      </w:r>
                      <w:proofErr w:type="spellEnd"/>
                      <w:proofErr w:type="gramEnd"/>
                      <w:r w:rsidR="005E77CA" w:rsidRPr="005E77CA">
                        <w:rPr>
                          <w:rFonts w:ascii="Times New Roman" w:hAnsi="Times New Roman" w:cs="Times New Roman"/>
                        </w:rPr>
                        <w:t xml:space="preserve"> B: Displays the relationship between age-standardized prevalence rates and SDI levels. Prevalence rates show a more pronounced increase in high-SDI </w:t>
                      </w:r>
                      <w:proofErr w:type="spellStart"/>
                      <w:proofErr w:type="gramStart"/>
                      <w:r w:rsidR="005E77CA" w:rsidRPr="005E77CA">
                        <w:rPr>
                          <w:rFonts w:ascii="Times New Roman" w:hAnsi="Times New Roman" w:cs="Times New Roman"/>
                        </w:rPr>
                        <w:t>regions.Panel</w:t>
                      </w:r>
                      <w:proofErr w:type="spellEnd"/>
                      <w:proofErr w:type="gramEnd"/>
                      <w:r w:rsidR="005E77CA" w:rsidRPr="005E77CA">
                        <w:rPr>
                          <w:rFonts w:ascii="Times New Roman" w:hAnsi="Times New Roman" w:cs="Times New Roman"/>
                        </w:rPr>
                        <w:t xml:space="preserve"> C: Illustrates the relationship between age-standardized death rates and SDI levels. Death rates are higher in low-SDI regions and decline as SDI levels improve, but they show a slight rebound in high-SDI </w:t>
                      </w:r>
                      <w:proofErr w:type="spellStart"/>
                      <w:proofErr w:type="gramStart"/>
                      <w:r w:rsidR="005E77CA" w:rsidRPr="005E77CA">
                        <w:rPr>
                          <w:rFonts w:ascii="Times New Roman" w:hAnsi="Times New Roman" w:cs="Times New Roman"/>
                        </w:rPr>
                        <w:t>regions.Panel</w:t>
                      </w:r>
                      <w:proofErr w:type="spellEnd"/>
                      <w:proofErr w:type="gramEnd"/>
                      <w:r w:rsidR="005E77CA" w:rsidRPr="005E77CA">
                        <w:rPr>
                          <w:rFonts w:ascii="Times New Roman" w:hAnsi="Times New Roman" w:cs="Times New Roman"/>
                        </w:rPr>
                        <w:t xml:space="preserve"> D: Depicts the relationship between age-standardized DALY rates and SDI levels. DALY rates are higher in low-SDI regions and gradually decline as SDI levels increase, but there is a slight rise in high-SDI regions, indicating a dual burden of disease.</w:t>
                      </w:r>
                    </w:p>
                  </w:txbxContent>
                </v:textbox>
                <w10:wrap type="topAndBottom" anchorx="margin"/>
              </v:shape>
            </w:pict>
          </mc:Fallback>
        </mc:AlternateContent>
      </w:r>
      <w:r w:rsidR="00FA0FE5">
        <w:rPr>
          <w:rFonts w:hint="eastAsia"/>
          <w:noProof/>
        </w:rPr>
        <w:drawing>
          <wp:anchor distT="0" distB="0" distL="114300" distR="114300" simplePos="0" relativeHeight="251685888" behindDoc="0" locked="0" layoutInCell="1" allowOverlap="1" wp14:anchorId="68838700" wp14:editId="5DC439E5">
            <wp:simplePos x="0" y="0"/>
            <wp:positionH relativeFrom="margin">
              <wp:posOffset>2451100</wp:posOffset>
            </wp:positionH>
            <wp:positionV relativeFrom="paragraph">
              <wp:posOffset>0</wp:posOffset>
            </wp:positionV>
            <wp:extent cx="7996555" cy="6219825"/>
            <wp:effectExtent l="0" t="0" r="4445" b="9525"/>
            <wp:wrapTopAndBottom/>
            <wp:docPr id="9738235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23595" name="图片 973823595"/>
                    <pic:cNvPicPr/>
                  </pic:nvPicPr>
                  <pic:blipFill>
                    <a:blip r:embed="rId17"/>
                    <a:stretch>
                      <a:fillRect/>
                    </a:stretch>
                  </pic:blipFill>
                  <pic:spPr>
                    <a:xfrm>
                      <a:off x="0" y="0"/>
                      <a:ext cx="7996555" cy="6219825"/>
                    </a:xfrm>
                    <a:prstGeom prst="rect">
                      <a:avLst/>
                    </a:prstGeom>
                  </pic:spPr>
                </pic:pic>
              </a:graphicData>
            </a:graphic>
            <wp14:sizeRelH relativeFrom="margin">
              <wp14:pctWidth>0</wp14:pctWidth>
            </wp14:sizeRelH>
            <wp14:sizeRelV relativeFrom="margin">
              <wp14:pctHeight>0</wp14:pctHeight>
            </wp14:sizeRelV>
          </wp:anchor>
        </w:drawing>
      </w:r>
      <w:r w:rsidR="00122C09">
        <w:rPr>
          <w:rFonts w:hint="eastAsia"/>
        </w:rPr>
        <w:br w:type="page"/>
      </w:r>
    </w:p>
    <w:p w14:paraId="6D59F2A8" w14:textId="6CE47E2D" w:rsidR="00122C09" w:rsidRDefault="005D68A2">
      <w:pPr>
        <w:widowControl/>
        <w:jc w:val="left"/>
      </w:pPr>
      <w:r>
        <w:rPr>
          <w:noProof/>
        </w:rPr>
        <w:lastRenderedPageBreak/>
        <mc:AlternateContent>
          <mc:Choice Requires="wps">
            <w:drawing>
              <wp:anchor distT="0" distB="0" distL="114300" distR="114300" simplePos="0" relativeHeight="251691008" behindDoc="0" locked="0" layoutInCell="1" allowOverlap="1" wp14:anchorId="27A67CBB" wp14:editId="0C96CE68">
                <wp:simplePos x="0" y="0"/>
                <wp:positionH relativeFrom="column">
                  <wp:posOffset>860079</wp:posOffset>
                </wp:positionH>
                <wp:positionV relativeFrom="paragraph">
                  <wp:posOffset>6593205</wp:posOffset>
                </wp:positionV>
                <wp:extent cx="11667490" cy="635"/>
                <wp:effectExtent l="0" t="0" r="0" b="3810"/>
                <wp:wrapTopAndBottom/>
                <wp:docPr id="1572827569" name="文本框 1"/>
                <wp:cNvGraphicFramePr/>
                <a:graphic xmlns:a="http://schemas.openxmlformats.org/drawingml/2006/main">
                  <a:graphicData uri="http://schemas.microsoft.com/office/word/2010/wordprocessingShape">
                    <wps:wsp>
                      <wps:cNvSpPr txBox="1"/>
                      <wps:spPr>
                        <a:xfrm>
                          <a:off x="0" y="0"/>
                          <a:ext cx="11667490" cy="635"/>
                        </a:xfrm>
                        <a:prstGeom prst="rect">
                          <a:avLst/>
                        </a:prstGeom>
                        <a:solidFill>
                          <a:prstClr val="white"/>
                        </a:solidFill>
                        <a:ln>
                          <a:noFill/>
                        </a:ln>
                      </wps:spPr>
                      <wps:txbx>
                        <w:txbxContent>
                          <w:p w14:paraId="67D18DA5" w14:textId="29BB54F2" w:rsidR="005D68A2" w:rsidRPr="00DD278C" w:rsidRDefault="005D68A2" w:rsidP="00DD278C">
                            <w:pPr>
                              <w:pStyle w:val="a3"/>
                              <w:rPr>
                                <w:rFonts w:ascii="Times New Roman" w:hAnsi="Times New Roman" w:cs="Times New Roman"/>
                                <w:noProof/>
                                <w:sz w:val="22"/>
                              </w:rPr>
                            </w:pPr>
                            <w:r w:rsidRPr="00DD278C">
                              <w:rPr>
                                <w:rFonts w:ascii="Times New Roman" w:hAnsi="Times New Roman" w:cs="Times New Roman"/>
                                <w:b/>
                                <w:bCs/>
                              </w:rPr>
                              <w:t xml:space="preserve">Supplement Figure </w:t>
                            </w:r>
                            <w:r w:rsidRPr="00DD278C">
                              <w:rPr>
                                <w:rFonts w:ascii="Times New Roman" w:hAnsi="Times New Roman" w:cs="Times New Roman"/>
                                <w:b/>
                                <w:bCs/>
                              </w:rPr>
                              <w:fldChar w:fldCharType="begin"/>
                            </w:r>
                            <w:r w:rsidRPr="00DD278C">
                              <w:rPr>
                                <w:rFonts w:ascii="Times New Roman" w:hAnsi="Times New Roman" w:cs="Times New Roman"/>
                                <w:b/>
                                <w:bCs/>
                              </w:rPr>
                              <w:instrText xml:space="preserve"> SEQ Supplement_Figure \* ARABIC </w:instrText>
                            </w:r>
                            <w:r w:rsidRPr="00DD278C">
                              <w:rPr>
                                <w:rFonts w:ascii="Times New Roman" w:hAnsi="Times New Roman" w:cs="Times New Roman"/>
                                <w:b/>
                                <w:bCs/>
                              </w:rPr>
                              <w:fldChar w:fldCharType="separate"/>
                            </w:r>
                            <w:r w:rsidRPr="00DD278C">
                              <w:rPr>
                                <w:rFonts w:ascii="Times New Roman" w:hAnsi="Times New Roman" w:cs="Times New Roman"/>
                                <w:b/>
                                <w:bCs/>
                                <w:noProof/>
                              </w:rPr>
                              <w:t>11</w:t>
                            </w:r>
                            <w:r w:rsidRPr="00DD278C">
                              <w:rPr>
                                <w:rFonts w:ascii="Times New Roman" w:hAnsi="Times New Roman" w:cs="Times New Roman"/>
                                <w:b/>
                                <w:bCs/>
                              </w:rPr>
                              <w:fldChar w:fldCharType="end"/>
                            </w:r>
                            <w:r w:rsidRPr="00DD278C">
                              <w:rPr>
                                <w:rFonts w:ascii="Times New Roman" w:hAnsi="Times New Roman" w:cs="Times New Roman"/>
                              </w:rPr>
                              <w:t xml:space="preserve">  </w:t>
                            </w:r>
                            <w:r w:rsidR="00DD278C" w:rsidRPr="00DD278C">
                              <w:rPr>
                                <w:rFonts w:ascii="Times New Roman" w:hAnsi="Times New Roman" w:cs="Times New Roman"/>
                              </w:rPr>
                              <w:t xml:space="preserve">Legend: Analysis of the correlation between age-standardized rates (ASR) and sociodemographic index (SDI) levels for incidence, prevalence, deaths, and disability-adjusted life years (DALYs) of endocarditis in 204 countries and regions worldwide in 2021.Panel A: Displays the relationship between age-standardized incidence rates and SDI levels. Incidence rates are relatively low in low-SDI regions but increase progressively as SDI levels rise, with a notable upward trend in high-SDI regions. Certain countries, such as Thailand, exhibit particularly high incidence </w:t>
                            </w:r>
                            <w:proofErr w:type="spellStart"/>
                            <w:proofErr w:type="gramStart"/>
                            <w:r w:rsidR="00DD278C" w:rsidRPr="00DD278C">
                              <w:rPr>
                                <w:rFonts w:ascii="Times New Roman" w:hAnsi="Times New Roman" w:cs="Times New Roman"/>
                              </w:rPr>
                              <w:t>rates.Panel</w:t>
                            </w:r>
                            <w:proofErr w:type="spellEnd"/>
                            <w:proofErr w:type="gramEnd"/>
                            <w:r w:rsidR="00DD278C" w:rsidRPr="00DD278C">
                              <w:rPr>
                                <w:rFonts w:ascii="Times New Roman" w:hAnsi="Times New Roman" w:cs="Times New Roman"/>
                              </w:rPr>
                              <w:t xml:space="preserve"> B: Illustrates the relationship between age-standardized prevalence rates and SDI levels. Prevalence rates are lower in countries with low SDI but increase significantly with rising SDI, particularly in high-SDI regions. France, for instance, shows higher prevalence </w:t>
                            </w:r>
                            <w:proofErr w:type="spellStart"/>
                            <w:proofErr w:type="gramStart"/>
                            <w:r w:rsidR="00DD278C" w:rsidRPr="00DD278C">
                              <w:rPr>
                                <w:rFonts w:ascii="Times New Roman" w:hAnsi="Times New Roman" w:cs="Times New Roman"/>
                              </w:rPr>
                              <w:t>rates.Panel</w:t>
                            </w:r>
                            <w:proofErr w:type="spellEnd"/>
                            <w:proofErr w:type="gramEnd"/>
                            <w:r w:rsidR="00DD278C" w:rsidRPr="00DD278C">
                              <w:rPr>
                                <w:rFonts w:ascii="Times New Roman" w:hAnsi="Times New Roman" w:cs="Times New Roman"/>
                              </w:rPr>
                              <w:t xml:space="preserve"> C: Shows the relationship between age-standardized death rates and SDI levels. Death rates are higher in low-SDI regions and decline as SDI levels improve but show a slight rebound in high-SDI regions. Countries like Chad and Niger have particularly high death rates among low-SDI </w:t>
                            </w:r>
                            <w:proofErr w:type="spellStart"/>
                            <w:proofErr w:type="gramStart"/>
                            <w:r w:rsidR="00DD278C" w:rsidRPr="00DD278C">
                              <w:rPr>
                                <w:rFonts w:ascii="Times New Roman" w:hAnsi="Times New Roman" w:cs="Times New Roman"/>
                              </w:rPr>
                              <w:t>countries.Panel</w:t>
                            </w:r>
                            <w:proofErr w:type="spellEnd"/>
                            <w:proofErr w:type="gramEnd"/>
                            <w:r w:rsidR="00DD278C" w:rsidRPr="00DD278C">
                              <w:rPr>
                                <w:rFonts w:ascii="Times New Roman" w:hAnsi="Times New Roman" w:cs="Times New Roman"/>
                              </w:rPr>
                              <w:t xml:space="preserve"> D: Depicts the relationship between age-standardized DALY rates and SDI levels. DALY rates are elevated in low-SDI regions and decrease as SDI levels rise but display a slight rebound in high-SDI countries, indicating the complex nature of the disease burden. Countries like Tokelau and the Marshall Islands exhibit higher DALY rates.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A67CBB" id="_x0000_s1036" type="#_x0000_t202" style="position:absolute;margin-left:67.7pt;margin-top:519.15pt;width:918.7pt;height:.0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" stroked="f">
                <v:textbox style="mso-fit-shape-to-text:t" inset="0,0,0,0">
                  <w:txbxContent>
                    <w:p w14:paraId="67D18DA5" w14:textId="29BB54F2" w:rsidR="005D68A2" w:rsidRPr="00DD278C" w:rsidRDefault="005D68A2" w:rsidP="00DD278C">
                      <w:pPr>
                        <w:pStyle w:val="a3"/>
                        <w:rPr>
                          <w:rFonts w:ascii="Times New Roman" w:hAnsi="Times New Roman" w:cs="Times New Roman"/>
                          <w:noProof/>
                          <w:sz w:val="22"/>
                        </w:rPr>
                      </w:pPr>
                      <w:r w:rsidRPr="00DD278C">
                        <w:rPr>
                          <w:rFonts w:ascii="Times New Roman" w:hAnsi="Times New Roman" w:cs="Times New Roman"/>
                          <w:b/>
                          <w:bCs/>
                        </w:rPr>
                        <w:t xml:space="preserve">Supplement Figure </w:t>
                      </w:r>
                      <w:r w:rsidRPr="00DD278C">
                        <w:rPr>
                          <w:rFonts w:ascii="Times New Roman" w:hAnsi="Times New Roman" w:cs="Times New Roman"/>
                          <w:b/>
                          <w:bCs/>
                        </w:rPr>
                        <w:fldChar w:fldCharType="begin"/>
                      </w:r>
                      <w:r w:rsidRPr="00DD278C">
                        <w:rPr>
                          <w:rFonts w:ascii="Times New Roman" w:hAnsi="Times New Roman" w:cs="Times New Roman"/>
                          <w:b/>
                          <w:bCs/>
                        </w:rPr>
                        <w:instrText xml:space="preserve"> SEQ Supplement_Figure \* ARABIC </w:instrText>
                      </w:r>
                      <w:r w:rsidRPr="00DD278C">
                        <w:rPr>
                          <w:rFonts w:ascii="Times New Roman" w:hAnsi="Times New Roman" w:cs="Times New Roman"/>
                          <w:b/>
                          <w:bCs/>
                        </w:rPr>
                        <w:fldChar w:fldCharType="separate"/>
                      </w:r>
                      <w:r w:rsidRPr="00DD278C">
                        <w:rPr>
                          <w:rFonts w:ascii="Times New Roman" w:hAnsi="Times New Roman" w:cs="Times New Roman"/>
                          <w:b/>
                          <w:bCs/>
                          <w:noProof/>
                        </w:rPr>
                        <w:t>11</w:t>
                      </w:r>
                      <w:r w:rsidRPr="00DD278C">
                        <w:rPr>
                          <w:rFonts w:ascii="Times New Roman" w:hAnsi="Times New Roman" w:cs="Times New Roman"/>
                          <w:b/>
                          <w:bCs/>
                        </w:rPr>
                        <w:fldChar w:fldCharType="end"/>
                      </w:r>
                      <w:r w:rsidRPr="00DD278C">
                        <w:rPr>
                          <w:rFonts w:ascii="Times New Roman" w:hAnsi="Times New Roman" w:cs="Times New Roman"/>
                        </w:rPr>
                        <w:t xml:space="preserve">  </w:t>
                      </w:r>
                      <w:r w:rsidR="00DD278C" w:rsidRPr="00DD278C">
                        <w:rPr>
                          <w:rFonts w:ascii="Times New Roman" w:hAnsi="Times New Roman" w:cs="Times New Roman"/>
                        </w:rPr>
                        <w:t xml:space="preserve">Legend: Analysis of the correlation between age-standardized rates (ASR) and sociodemographic index (SDI) levels for incidence, prevalence, deaths, and disability-adjusted life years (DALYs) of endocarditis in 204 countries and regions worldwide in 2021.Panel A: Displays the relationship between age-standardized incidence rates and SDI levels. Incidence rates are relatively low in low-SDI regions but increase progressively as SDI levels rise, with a notable upward trend in high-SDI regions. Certain countries, such as Thailand, exhibit particularly high incidence </w:t>
                      </w:r>
                      <w:proofErr w:type="spellStart"/>
                      <w:proofErr w:type="gramStart"/>
                      <w:r w:rsidR="00DD278C" w:rsidRPr="00DD278C">
                        <w:rPr>
                          <w:rFonts w:ascii="Times New Roman" w:hAnsi="Times New Roman" w:cs="Times New Roman"/>
                        </w:rPr>
                        <w:t>rates.Panel</w:t>
                      </w:r>
                      <w:proofErr w:type="spellEnd"/>
                      <w:proofErr w:type="gramEnd"/>
                      <w:r w:rsidR="00DD278C" w:rsidRPr="00DD278C">
                        <w:rPr>
                          <w:rFonts w:ascii="Times New Roman" w:hAnsi="Times New Roman" w:cs="Times New Roman"/>
                        </w:rPr>
                        <w:t xml:space="preserve"> B: Illustrates the relationship between age-standardized prevalence rates and SDI levels. Prevalence rates are lower in countries with low SDI but increase significantly with rising SDI, particularly in high-SDI regions. France, for instance, shows higher prevalence </w:t>
                      </w:r>
                      <w:proofErr w:type="spellStart"/>
                      <w:proofErr w:type="gramStart"/>
                      <w:r w:rsidR="00DD278C" w:rsidRPr="00DD278C">
                        <w:rPr>
                          <w:rFonts w:ascii="Times New Roman" w:hAnsi="Times New Roman" w:cs="Times New Roman"/>
                        </w:rPr>
                        <w:t>rates.Panel</w:t>
                      </w:r>
                      <w:proofErr w:type="spellEnd"/>
                      <w:proofErr w:type="gramEnd"/>
                      <w:r w:rsidR="00DD278C" w:rsidRPr="00DD278C">
                        <w:rPr>
                          <w:rFonts w:ascii="Times New Roman" w:hAnsi="Times New Roman" w:cs="Times New Roman"/>
                        </w:rPr>
                        <w:t xml:space="preserve"> C: Shows the relationship between age-standardized death rates and SDI levels. Death rates are higher in low-SDI regions and decline as SDI levels improve but show a slight rebound in high-SDI regions. Countries like Chad and Niger have particularly high death rates among low-SDI </w:t>
                      </w:r>
                      <w:proofErr w:type="spellStart"/>
                      <w:proofErr w:type="gramStart"/>
                      <w:r w:rsidR="00DD278C" w:rsidRPr="00DD278C">
                        <w:rPr>
                          <w:rFonts w:ascii="Times New Roman" w:hAnsi="Times New Roman" w:cs="Times New Roman"/>
                        </w:rPr>
                        <w:t>countries.Panel</w:t>
                      </w:r>
                      <w:proofErr w:type="spellEnd"/>
                      <w:proofErr w:type="gramEnd"/>
                      <w:r w:rsidR="00DD278C" w:rsidRPr="00DD278C">
                        <w:rPr>
                          <w:rFonts w:ascii="Times New Roman" w:hAnsi="Times New Roman" w:cs="Times New Roman"/>
                        </w:rPr>
                        <w:t xml:space="preserve"> D: Depicts the relationship between age-standardized DALY rates and SDI levels. DALY rates are elevated in low-SDI regions and decrease as SDI levels rise but display a slight rebound in high-SDI countries, indicating the complex nature of the disease burden. Countries like Tokelau and the Marshall Islands exhibit higher DALY rates.</w:t>
                      </w:r>
                    </w:p>
                  </w:txbxContent>
                </v:textbox>
                <w10:wrap type="topAndBottom"/>
              </v:shape>
            </w:pict>
          </mc:Fallback>
        </mc:AlternateContent>
      </w:r>
      <w:r w:rsidR="00DF522D">
        <w:rPr>
          <w:rFonts w:hint="eastAsia"/>
          <w:noProof/>
        </w:rPr>
        <w:drawing>
          <wp:anchor distT="0" distB="0" distL="114300" distR="114300" simplePos="0" relativeHeight="251688960" behindDoc="0" locked="0" layoutInCell="1" allowOverlap="1" wp14:anchorId="1EE9C3D1" wp14:editId="5CB17F49">
            <wp:simplePos x="0" y="0"/>
            <wp:positionH relativeFrom="margin">
              <wp:align>center</wp:align>
            </wp:positionH>
            <wp:positionV relativeFrom="paragraph">
              <wp:posOffset>594</wp:posOffset>
            </wp:positionV>
            <wp:extent cx="8229600" cy="6400800"/>
            <wp:effectExtent l="0" t="0" r="0" b="0"/>
            <wp:wrapTopAndBottom/>
            <wp:docPr id="19562221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222193" name="图片 1956222193"/>
                    <pic:cNvPicPr/>
                  </pic:nvPicPr>
                  <pic:blipFill>
                    <a:blip r:embed="rId18"/>
                    <a:stretch>
                      <a:fillRect/>
                    </a:stretch>
                  </pic:blipFill>
                  <pic:spPr>
                    <a:xfrm>
                      <a:off x="0" y="0"/>
                      <a:ext cx="8229600" cy="6400800"/>
                    </a:xfrm>
                    <a:prstGeom prst="rect">
                      <a:avLst/>
                    </a:prstGeom>
                  </pic:spPr>
                </pic:pic>
              </a:graphicData>
            </a:graphic>
          </wp:anchor>
        </w:drawing>
      </w:r>
    </w:p>
    <w:sectPr w:rsidR="00122C09" w:rsidSect="00122C09">
      <w:pgSz w:w="23811" w:h="16838" w:orient="landscape" w:code="8"/>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BF3859" w14:textId="77777777" w:rsidR="000E1C1D" w:rsidRDefault="000E1C1D" w:rsidP="004A67CA">
      <w:r>
        <w:separator/>
      </w:r>
    </w:p>
  </w:endnote>
  <w:endnote w:type="continuationSeparator" w:id="0">
    <w:p w14:paraId="36070A9E" w14:textId="77777777" w:rsidR="000E1C1D" w:rsidRDefault="000E1C1D" w:rsidP="004A6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523181" w14:textId="77777777" w:rsidR="000E1C1D" w:rsidRDefault="000E1C1D" w:rsidP="004A67CA">
      <w:r>
        <w:separator/>
      </w:r>
    </w:p>
  </w:footnote>
  <w:footnote w:type="continuationSeparator" w:id="0">
    <w:p w14:paraId="208198A4" w14:textId="77777777" w:rsidR="000E1C1D" w:rsidRDefault="000E1C1D" w:rsidP="004A67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F3A6661"/>
    <w:multiLevelType w:val="multilevel"/>
    <w:tmpl w:val="CB38D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2C09"/>
    <w:rsid w:val="00004830"/>
    <w:rsid w:val="0002587C"/>
    <w:rsid w:val="000C4CBD"/>
    <w:rsid w:val="000E1C1D"/>
    <w:rsid w:val="0010503D"/>
    <w:rsid w:val="00122C09"/>
    <w:rsid w:val="002055B6"/>
    <w:rsid w:val="00221764"/>
    <w:rsid w:val="003148DE"/>
    <w:rsid w:val="00372DB7"/>
    <w:rsid w:val="004641D8"/>
    <w:rsid w:val="004A2E66"/>
    <w:rsid w:val="004A67CA"/>
    <w:rsid w:val="00542107"/>
    <w:rsid w:val="005943AA"/>
    <w:rsid w:val="005A64CC"/>
    <w:rsid w:val="005D68A2"/>
    <w:rsid w:val="005E77CA"/>
    <w:rsid w:val="007F56C8"/>
    <w:rsid w:val="008040D5"/>
    <w:rsid w:val="00830C16"/>
    <w:rsid w:val="008657D4"/>
    <w:rsid w:val="008B5D45"/>
    <w:rsid w:val="009022FA"/>
    <w:rsid w:val="009102D8"/>
    <w:rsid w:val="00970AFD"/>
    <w:rsid w:val="00A03460"/>
    <w:rsid w:val="00A6704C"/>
    <w:rsid w:val="00A7148F"/>
    <w:rsid w:val="00AC59E4"/>
    <w:rsid w:val="00B10EA0"/>
    <w:rsid w:val="00B1477F"/>
    <w:rsid w:val="00B92828"/>
    <w:rsid w:val="00BA5EE7"/>
    <w:rsid w:val="00BB7CFE"/>
    <w:rsid w:val="00C153E4"/>
    <w:rsid w:val="00C77A94"/>
    <w:rsid w:val="00C9132A"/>
    <w:rsid w:val="00CB2C78"/>
    <w:rsid w:val="00CB4A85"/>
    <w:rsid w:val="00CC4336"/>
    <w:rsid w:val="00D35FCD"/>
    <w:rsid w:val="00D517D3"/>
    <w:rsid w:val="00D556AE"/>
    <w:rsid w:val="00D85ECF"/>
    <w:rsid w:val="00DD278C"/>
    <w:rsid w:val="00DF522D"/>
    <w:rsid w:val="00E07116"/>
    <w:rsid w:val="00E20A47"/>
    <w:rsid w:val="00EE3809"/>
    <w:rsid w:val="00F157F9"/>
    <w:rsid w:val="00FA0F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3DF269"/>
  <w14:defaultImageDpi w14:val="32767"/>
  <w15:chartTrackingRefBased/>
  <w15:docId w15:val="{45BFB434-A844-4001-B39F-07FDA45E8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2"/>
        <w:szCs w:val="22"/>
        <w:lang w:val="en-US" w:eastAsia="zh-CN"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sid w:val="00122C09"/>
    <w:rPr>
      <w:rFonts w:asciiTheme="majorHAnsi" w:eastAsia="黑体" w:hAnsiTheme="majorHAnsi" w:cstheme="majorBidi"/>
      <w:sz w:val="20"/>
      <w:szCs w:val="20"/>
    </w:rPr>
  </w:style>
  <w:style w:type="paragraph" w:styleId="a4">
    <w:name w:val="Normal (Web)"/>
    <w:basedOn w:val="a"/>
    <w:uiPriority w:val="99"/>
    <w:semiHidden/>
    <w:unhideWhenUsed/>
    <w:rsid w:val="005943AA"/>
    <w:rPr>
      <w:rFonts w:ascii="Times New Roman" w:hAnsi="Times New Roman" w:cs="Times New Roman"/>
      <w:sz w:val="24"/>
      <w:szCs w:val="24"/>
    </w:rPr>
  </w:style>
  <w:style w:type="paragraph" w:styleId="a5">
    <w:name w:val="header"/>
    <w:basedOn w:val="a"/>
    <w:link w:val="a6"/>
    <w:uiPriority w:val="99"/>
    <w:unhideWhenUsed/>
    <w:rsid w:val="004A67CA"/>
    <w:pPr>
      <w:tabs>
        <w:tab w:val="center" w:pos="4153"/>
        <w:tab w:val="right" w:pos="8306"/>
      </w:tabs>
      <w:snapToGrid w:val="0"/>
      <w:jc w:val="center"/>
    </w:pPr>
    <w:rPr>
      <w:sz w:val="18"/>
      <w:szCs w:val="18"/>
    </w:rPr>
  </w:style>
  <w:style w:type="character" w:customStyle="1" w:styleId="a6">
    <w:name w:val="页眉 字符"/>
    <w:basedOn w:val="a0"/>
    <w:link w:val="a5"/>
    <w:uiPriority w:val="99"/>
    <w:rsid w:val="004A67CA"/>
    <w:rPr>
      <w:sz w:val="18"/>
      <w:szCs w:val="18"/>
    </w:rPr>
  </w:style>
  <w:style w:type="paragraph" w:styleId="a7">
    <w:name w:val="footer"/>
    <w:basedOn w:val="a"/>
    <w:link w:val="a8"/>
    <w:uiPriority w:val="99"/>
    <w:unhideWhenUsed/>
    <w:rsid w:val="004A67CA"/>
    <w:pPr>
      <w:tabs>
        <w:tab w:val="center" w:pos="4153"/>
        <w:tab w:val="right" w:pos="8306"/>
      </w:tabs>
      <w:snapToGrid w:val="0"/>
      <w:jc w:val="left"/>
    </w:pPr>
    <w:rPr>
      <w:sz w:val="18"/>
      <w:szCs w:val="18"/>
    </w:rPr>
  </w:style>
  <w:style w:type="character" w:customStyle="1" w:styleId="a8">
    <w:name w:val="页脚 字符"/>
    <w:basedOn w:val="a0"/>
    <w:link w:val="a7"/>
    <w:uiPriority w:val="99"/>
    <w:rsid w:val="004A67C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326484">
      <w:bodyDiv w:val="1"/>
      <w:marLeft w:val="0"/>
      <w:marRight w:val="0"/>
      <w:marTop w:val="0"/>
      <w:marBottom w:val="0"/>
      <w:divBdr>
        <w:top w:val="none" w:sz="0" w:space="0" w:color="auto"/>
        <w:left w:val="none" w:sz="0" w:space="0" w:color="auto"/>
        <w:bottom w:val="none" w:sz="0" w:space="0" w:color="auto"/>
        <w:right w:val="none" w:sz="0" w:space="0" w:color="auto"/>
      </w:divBdr>
    </w:div>
    <w:div w:id="71195564">
      <w:bodyDiv w:val="1"/>
      <w:marLeft w:val="0"/>
      <w:marRight w:val="0"/>
      <w:marTop w:val="0"/>
      <w:marBottom w:val="0"/>
      <w:divBdr>
        <w:top w:val="none" w:sz="0" w:space="0" w:color="auto"/>
        <w:left w:val="none" w:sz="0" w:space="0" w:color="auto"/>
        <w:bottom w:val="none" w:sz="0" w:space="0" w:color="auto"/>
        <w:right w:val="none" w:sz="0" w:space="0" w:color="auto"/>
      </w:divBdr>
    </w:div>
    <w:div w:id="117191705">
      <w:bodyDiv w:val="1"/>
      <w:marLeft w:val="0"/>
      <w:marRight w:val="0"/>
      <w:marTop w:val="0"/>
      <w:marBottom w:val="0"/>
      <w:divBdr>
        <w:top w:val="none" w:sz="0" w:space="0" w:color="auto"/>
        <w:left w:val="none" w:sz="0" w:space="0" w:color="auto"/>
        <w:bottom w:val="none" w:sz="0" w:space="0" w:color="auto"/>
        <w:right w:val="none" w:sz="0" w:space="0" w:color="auto"/>
      </w:divBdr>
    </w:div>
    <w:div w:id="243076564">
      <w:bodyDiv w:val="1"/>
      <w:marLeft w:val="0"/>
      <w:marRight w:val="0"/>
      <w:marTop w:val="0"/>
      <w:marBottom w:val="0"/>
      <w:divBdr>
        <w:top w:val="none" w:sz="0" w:space="0" w:color="auto"/>
        <w:left w:val="none" w:sz="0" w:space="0" w:color="auto"/>
        <w:bottom w:val="none" w:sz="0" w:space="0" w:color="auto"/>
        <w:right w:val="none" w:sz="0" w:space="0" w:color="auto"/>
      </w:divBdr>
    </w:div>
    <w:div w:id="247008512">
      <w:bodyDiv w:val="1"/>
      <w:marLeft w:val="0"/>
      <w:marRight w:val="0"/>
      <w:marTop w:val="0"/>
      <w:marBottom w:val="0"/>
      <w:divBdr>
        <w:top w:val="none" w:sz="0" w:space="0" w:color="auto"/>
        <w:left w:val="none" w:sz="0" w:space="0" w:color="auto"/>
        <w:bottom w:val="none" w:sz="0" w:space="0" w:color="auto"/>
        <w:right w:val="none" w:sz="0" w:space="0" w:color="auto"/>
      </w:divBdr>
    </w:div>
    <w:div w:id="1297640170">
      <w:bodyDiv w:val="1"/>
      <w:marLeft w:val="0"/>
      <w:marRight w:val="0"/>
      <w:marTop w:val="0"/>
      <w:marBottom w:val="0"/>
      <w:divBdr>
        <w:top w:val="none" w:sz="0" w:space="0" w:color="auto"/>
        <w:left w:val="none" w:sz="0" w:space="0" w:color="auto"/>
        <w:bottom w:val="none" w:sz="0" w:space="0" w:color="auto"/>
        <w:right w:val="none" w:sz="0" w:space="0" w:color="auto"/>
      </w:divBdr>
    </w:div>
    <w:div w:id="1440756539">
      <w:bodyDiv w:val="1"/>
      <w:marLeft w:val="0"/>
      <w:marRight w:val="0"/>
      <w:marTop w:val="0"/>
      <w:marBottom w:val="0"/>
      <w:divBdr>
        <w:top w:val="none" w:sz="0" w:space="0" w:color="auto"/>
        <w:left w:val="none" w:sz="0" w:space="0" w:color="auto"/>
        <w:bottom w:val="none" w:sz="0" w:space="0" w:color="auto"/>
        <w:right w:val="none" w:sz="0" w:space="0" w:color="auto"/>
      </w:divBdr>
    </w:div>
    <w:div w:id="1588077787">
      <w:bodyDiv w:val="1"/>
      <w:marLeft w:val="0"/>
      <w:marRight w:val="0"/>
      <w:marTop w:val="0"/>
      <w:marBottom w:val="0"/>
      <w:divBdr>
        <w:top w:val="none" w:sz="0" w:space="0" w:color="auto"/>
        <w:left w:val="none" w:sz="0" w:space="0" w:color="auto"/>
        <w:bottom w:val="none" w:sz="0" w:space="0" w:color="auto"/>
        <w:right w:val="none" w:sz="0" w:space="0" w:color="auto"/>
      </w:divBdr>
    </w:div>
    <w:div w:id="1637681582">
      <w:bodyDiv w:val="1"/>
      <w:marLeft w:val="0"/>
      <w:marRight w:val="0"/>
      <w:marTop w:val="0"/>
      <w:marBottom w:val="0"/>
      <w:divBdr>
        <w:top w:val="none" w:sz="0" w:space="0" w:color="auto"/>
        <w:left w:val="none" w:sz="0" w:space="0" w:color="auto"/>
        <w:bottom w:val="none" w:sz="0" w:space="0" w:color="auto"/>
        <w:right w:val="none" w:sz="0" w:space="0" w:color="auto"/>
      </w:divBdr>
    </w:div>
    <w:div w:id="1902793170">
      <w:bodyDiv w:val="1"/>
      <w:marLeft w:val="0"/>
      <w:marRight w:val="0"/>
      <w:marTop w:val="0"/>
      <w:marBottom w:val="0"/>
      <w:divBdr>
        <w:top w:val="none" w:sz="0" w:space="0" w:color="auto"/>
        <w:left w:val="none" w:sz="0" w:space="0" w:color="auto"/>
        <w:bottom w:val="none" w:sz="0" w:space="0" w:color="auto"/>
        <w:right w:val="none" w:sz="0" w:space="0" w:color="auto"/>
      </w:divBdr>
    </w:div>
    <w:div w:id="1994480530">
      <w:bodyDiv w:val="1"/>
      <w:marLeft w:val="0"/>
      <w:marRight w:val="0"/>
      <w:marTop w:val="0"/>
      <w:marBottom w:val="0"/>
      <w:divBdr>
        <w:top w:val="none" w:sz="0" w:space="0" w:color="auto"/>
        <w:left w:val="none" w:sz="0" w:space="0" w:color="auto"/>
        <w:bottom w:val="none" w:sz="0" w:space="0" w:color="auto"/>
        <w:right w:val="none" w:sz="0" w:space="0" w:color="auto"/>
      </w:divBdr>
    </w:div>
    <w:div w:id="2136020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05F830-EBB2-4CA2-A28E-83672F213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6</Words>
  <Characters>37</Characters>
  <Application>Microsoft Office Word</Application>
  <DocSecurity>0</DocSecurity>
  <Lines>1</Lines>
  <Paragraphs>1</Paragraphs>
  <ScaleCrop>false</ScaleCrop>
  <Company/>
  <LinksUpToDate>false</LinksUpToDate>
  <CharactersWithSpaces>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浩 陈</dc:creator>
  <cp:keywords/>
  <dc:description/>
  <cp:lastModifiedBy>Alan Su</cp:lastModifiedBy>
  <cp:revision>3</cp:revision>
  <dcterms:created xsi:type="dcterms:W3CDTF">2025-01-08T12:31:00Z</dcterms:created>
  <dcterms:modified xsi:type="dcterms:W3CDTF">2025-04-21T01:59:00Z</dcterms:modified>
</cp:coreProperties>
</file>